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1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3690"/>
        <w:gridCol w:w="1838"/>
        <w:gridCol w:w="1509"/>
      </w:tblGrid>
      <w:tr w:rsidR="00395898" w:rsidTr="2714759D" w14:paraId="2DF9614A" w14:textId="77777777">
        <w:tc>
          <w:tcPr>
            <w:tcW w:w="1980" w:type="dxa"/>
            <w:tcMar/>
          </w:tcPr>
          <w:p w:rsidRPr="008F5F4B" w:rsidR="00395898" w:rsidP="2714759D" w:rsidRDefault="00395898" w14:paraId="2B4C8107" w14:textId="0D143FD1">
            <w:pPr>
              <w:rPr>
                <w:b w:val="1"/>
                <w:bCs w:val="1"/>
              </w:rPr>
            </w:pPr>
            <w:r w:rsidRPr="2714759D" w:rsidR="00395898">
              <w:rPr>
                <w:b w:val="1"/>
                <w:bCs w:val="1"/>
              </w:rPr>
              <w:t>Type</w:t>
            </w:r>
            <w:r w:rsidRPr="2714759D" w:rsidR="00395898">
              <w:rPr>
                <w:b w:val="1"/>
                <w:bCs w:val="1"/>
              </w:rPr>
              <w:t xml:space="preserve">:   </w:t>
            </w:r>
          </w:p>
        </w:tc>
        <w:tc>
          <w:tcPr>
            <w:tcW w:w="3690" w:type="dxa"/>
            <w:tcMar/>
          </w:tcPr>
          <w:p w:rsidR="00395898" w:rsidP="00395898" w:rsidRDefault="00395898" w14:paraId="30FEA796" w14:textId="77777777">
            <w:r>
              <w:t>External Relations</w:t>
            </w:r>
          </w:p>
        </w:tc>
        <w:tc>
          <w:tcPr>
            <w:tcW w:w="1838" w:type="dxa"/>
            <w:tcMar/>
          </w:tcPr>
          <w:p w:rsidR="00395898" w:rsidP="00395898" w:rsidRDefault="00395898" w14:paraId="346FE841" w14:textId="77777777">
            <w:r>
              <w:rPr>
                <w:b/>
              </w:rPr>
              <w:t>Last updated</w:t>
            </w:r>
            <w:r w:rsidRPr="008F5F4B">
              <w:rPr>
                <w:b/>
              </w:rPr>
              <w:t>:</w:t>
            </w:r>
          </w:p>
        </w:tc>
        <w:tc>
          <w:tcPr>
            <w:tcW w:w="1509" w:type="dxa"/>
            <w:tcMar/>
          </w:tcPr>
          <w:p w:rsidR="00395898" w:rsidP="00395898" w:rsidRDefault="00395898" w14:paraId="442DD962" w14:textId="77777777">
            <w:r>
              <w:t xml:space="preserve">August 2023 </w:t>
            </w:r>
          </w:p>
        </w:tc>
      </w:tr>
      <w:tr w:rsidR="00395898" w:rsidTr="2714759D" w14:paraId="2F8F4E10" w14:textId="77777777">
        <w:tc>
          <w:tcPr>
            <w:tcW w:w="1980" w:type="dxa"/>
            <w:tcMar/>
          </w:tcPr>
          <w:p w:rsidRPr="008F5F4B" w:rsidR="00395898" w:rsidP="00395898" w:rsidRDefault="00395898" w14:paraId="531621CF" w14:textId="77777777">
            <w:pPr>
              <w:rPr>
                <w:b/>
              </w:rPr>
            </w:pPr>
            <w:r>
              <w:rPr>
                <w:b/>
              </w:rPr>
              <w:t>Owner</w:t>
            </w:r>
            <w:r w:rsidRPr="008F5F4B">
              <w:rPr>
                <w:b/>
              </w:rPr>
              <w:t>:</w:t>
            </w:r>
          </w:p>
        </w:tc>
        <w:tc>
          <w:tcPr>
            <w:tcW w:w="3690" w:type="dxa"/>
            <w:tcMar/>
          </w:tcPr>
          <w:p w:rsidR="00395898" w:rsidP="00395898" w:rsidRDefault="00395898" w14:paraId="131BD872" w14:textId="77777777">
            <w:r>
              <w:t>Director of Finance &amp; Administration</w:t>
            </w:r>
          </w:p>
        </w:tc>
        <w:tc>
          <w:tcPr>
            <w:tcW w:w="1838" w:type="dxa"/>
            <w:tcMar/>
          </w:tcPr>
          <w:p w:rsidRPr="008F5F4B" w:rsidR="00395898" w:rsidP="00395898" w:rsidRDefault="00395898" w14:paraId="2E4B4384" w14:textId="77777777">
            <w:pPr>
              <w:rPr>
                <w:b/>
              </w:rPr>
            </w:pPr>
            <w:r>
              <w:rPr>
                <w:b/>
              </w:rPr>
              <w:t>Next review</w:t>
            </w:r>
            <w:r w:rsidRPr="008F5F4B">
              <w:rPr>
                <w:b/>
              </w:rPr>
              <w:t>:</w:t>
            </w:r>
          </w:p>
        </w:tc>
        <w:tc>
          <w:tcPr>
            <w:tcW w:w="1509" w:type="dxa"/>
            <w:tcMar/>
          </w:tcPr>
          <w:p w:rsidR="00395898" w:rsidP="00395898" w:rsidRDefault="00395898" w14:paraId="1869D7FA" w14:textId="77777777">
            <w:r>
              <w:t xml:space="preserve">August 2024 </w:t>
            </w:r>
          </w:p>
        </w:tc>
      </w:tr>
      <w:tr w:rsidR="00395898" w:rsidTr="2714759D" w14:paraId="1847806C" w14:textId="77777777">
        <w:tc>
          <w:tcPr>
            <w:tcW w:w="1980" w:type="dxa"/>
            <w:tcMar/>
          </w:tcPr>
          <w:p w:rsidR="00395898" w:rsidP="00395898" w:rsidRDefault="00395898" w14:paraId="27B29727" w14:textId="77777777">
            <w:pPr>
              <w:rPr>
                <w:b/>
              </w:rPr>
            </w:pPr>
          </w:p>
        </w:tc>
        <w:tc>
          <w:tcPr>
            <w:tcW w:w="3690" w:type="dxa"/>
            <w:tcMar/>
          </w:tcPr>
          <w:p w:rsidR="00395898" w:rsidP="00395898" w:rsidRDefault="00395898" w14:paraId="095D76C2" w14:textId="77777777"/>
        </w:tc>
        <w:tc>
          <w:tcPr>
            <w:tcW w:w="1838" w:type="dxa"/>
            <w:tcMar/>
          </w:tcPr>
          <w:p w:rsidR="00395898" w:rsidP="00395898" w:rsidRDefault="00395898" w14:paraId="61A19DCE" w14:textId="77777777">
            <w:pPr>
              <w:rPr>
                <w:b/>
              </w:rPr>
            </w:pPr>
          </w:p>
        </w:tc>
        <w:tc>
          <w:tcPr>
            <w:tcW w:w="1509" w:type="dxa"/>
            <w:tcMar/>
          </w:tcPr>
          <w:p w:rsidR="00395898" w:rsidP="00395898" w:rsidRDefault="00395898" w14:paraId="102FE3EC" w14:textId="77777777"/>
        </w:tc>
      </w:tr>
    </w:tbl>
    <w:p w:rsidRPr="00902F84" w:rsidR="00430894" w:rsidP="00430894" w:rsidRDefault="00AA751C" w14:paraId="7D5E147F" w14:textId="0A165EBE">
      <w:pPr>
        <w:pStyle w:val="Heading1"/>
        <w:rPr>
          <w:noProof/>
          <w:lang w:val="en-GB"/>
        </w:rPr>
      </w:pPr>
      <w:r w:rsidRPr="00902F84">
        <w:rPr>
          <w:noProof/>
          <w:lang w:val="en-GB"/>
        </w:rPr>
        <w:t xml:space="preserve">Safeguarding </w:t>
      </w:r>
      <w:r w:rsidRPr="00902F84" w:rsidR="002A1D7F">
        <w:rPr>
          <w:noProof/>
          <w:lang w:val="en-GB"/>
        </w:rPr>
        <w:t>Policy</w:t>
      </w:r>
      <w:r w:rsidRPr="00902F84">
        <w:rPr>
          <w:noProof/>
          <w:lang w:val="en-GB"/>
        </w:rPr>
        <w:t xml:space="preserve"> </w:t>
      </w:r>
    </w:p>
    <w:p w:rsidRPr="00902F84" w:rsidR="00F5753E" w:rsidP="00920F19" w:rsidRDefault="002A1D7F" w14:paraId="1D453BC8" w14:textId="77777777">
      <w:pPr>
        <w:pStyle w:val="Heading2"/>
        <w:rPr>
          <w:noProof/>
          <w:lang w:val="en-GB"/>
        </w:rPr>
      </w:pPr>
      <w:r w:rsidRPr="00902F84">
        <w:rPr>
          <w:noProof/>
          <w:lang w:val="en-GB"/>
        </w:rPr>
        <w:t>Purpose</w:t>
      </w:r>
    </w:p>
    <w:p w:rsidR="00773D93" w:rsidP="00920F19" w:rsidRDefault="00773D93" w14:paraId="2199F7E6" w14:textId="22DAE797">
      <w:pPr>
        <w:rPr>
          <w:noProof/>
          <w:lang w:val="en-GB"/>
        </w:rPr>
      </w:pPr>
      <w:r>
        <w:rPr>
          <w:noProof/>
          <w:lang w:val="en-GB"/>
        </w:rPr>
        <w:t>MRF’s vision is a world free from meningitis and septicaemia</w:t>
      </w:r>
      <w:r w:rsidR="00A73A3B">
        <w:rPr>
          <w:noProof/>
          <w:lang w:val="en-GB"/>
        </w:rPr>
        <w:t xml:space="preserve">. We focus on </w:t>
      </w:r>
      <w:r>
        <w:rPr>
          <w:noProof/>
          <w:lang w:val="en-GB"/>
        </w:rPr>
        <w:t>research</w:t>
      </w:r>
      <w:r w:rsidR="00A73A3B">
        <w:rPr>
          <w:noProof/>
          <w:lang w:val="en-GB"/>
        </w:rPr>
        <w:t xml:space="preserve">, advocacy and </w:t>
      </w:r>
      <w:r>
        <w:rPr>
          <w:noProof/>
          <w:lang w:val="en-GB"/>
        </w:rPr>
        <w:t xml:space="preserve">action </w:t>
      </w:r>
      <w:r w:rsidR="002E02C7">
        <w:rPr>
          <w:noProof/>
          <w:lang w:val="en-GB"/>
        </w:rPr>
        <w:t>in defeating</w:t>
      </w:r>
      <w:r>
        <w:rPr>
          <w:noProof/>
          <w:lang w:val="en-GB"/>
        </w:rPr>
        <w:t xml:space="preserve"> meningitis and septicaemia.  </w:t>
      </w:r>
    </w:p>
    <w:p w:rsidR="00A53BD6" w:rsidP="002A1D7F" w:rsidRDefault="006D7140" w14:paraId="0F8C4846" w14:textId="01A4CA2D">
      <w:pPr>
        <w:rPr>
          <w:rFonts w:cs="Arial"/>
          <w:noProof/>
          <w:color w:val="000000"/>
          <w:szCs w:val="20"/>
          <w:lang w:val="en-GB"/>
        </w:rPr>
      </w:pPr>
      <w:r w:rsidRPr="00902F84">
        <w:rPr>
          <w:noProof/>
          <w:lang w:val="en-GB"/>
        </w:rPr>
        <w:t>Th</w:t>
      </w:r>
      <w:r w:rsidR="00516128">
        <w:rPr>
          <w:noProof/>
          <w:lang w:val="en-GB"/>
        </w:rPr>
        <w:t>is</w:t>
      </w:r>
      <w:r w:rsidRPr="00902F84">
        <w:rPr>
          <w:noProof/>
          <w:lang w:val="en-GB"/>
        </w:rPr>
        <w:t xml:space="preserve"> policy outlines our</w:t>
      </w:r>
      <w:r w:rsidRPr="00902F84" w:rsidR="00F5753E">
        <w:rPr>
          <w:noProof/>
          <w:lang w:val="en-GB"/>
        </w:rPr>
        <w:t xml:space="preserve"> commitment </w:t>
      </w:r>
      <w:r w:rsidR="005B206A">
        <w:rPr>
          <w:noProof/>
          <w:lang w:val="en-GB"/>
        </w:rPr>
        <w:t xml:space="preserve">to safeguarding and our utmost assurance </w:t>
      </w:r>
      <w:r w:rsidRPr="00902F84" w:rsidR="00F5753E">
        <w:rPr>
          <w:noProof/>
          <w:lang w:val="en-GB"/>
        </w:rPr>
        <w:t>to protect</w:t>
      </w:r>
      <w:r w:rsidRPr="00902F84" w:rsidR="002A1D7F">
        <w:rPr>
          <w:noProof/>
          <w:lang w:val="en-GB"/>
        </w:rPr>
        <w:t xml:space="preserve"> </w:t>
      </w:r>
      <w:r w:rsidR="005B206A">
        <w:rPr>
          <w:noProof/>
          <w:lang w:val="en-GB"/>
        </w:rPr>
        <w:t>everyone that we assist</w:t>
      </w:r>
      <w:r w:rsidR="004E774D">
        <w:rPr>
          <w:noProof/>
          <w:lang w:val="en-GB"/>
        </w:rPr>
        <w:t xml:space="preserve"> </w:t>
      </w:r>
      <w:r w:rsidR="00516128">
        <w:rPr>
          <w:noProof/>
          <w:lang w:val="en-GB"/>
        </w:rPr>
        <w:t xml:space="preserve">and all those in contact with MRF’s work </w:t>
      </w:r>
      <w:r w:rsidRPr="00902F84" w:rsidR="00AA751C">
        <w:rPr>
          <w:noProof/>
          <w:lang w:val="en-GB"/>
        </w:rPr>
        <w:t>from deliberate or inadvertent actions and failings that place them at risk of abuse, sexual exploitation, injur</w:t>
      </w:r>
      <w:r w:rsidRPr="00902F84" w:rsidR="00C81F5F">
        <w:rPr>
          <w:noProof/>
          <w:lang w:val="en-GB"/>
        </w:rPr>
        <w:t xml:space="preserve">y </w:t>
      </w:r>
      <w:r w:rsidR="00D81A38">
        <w:rPr>
          <w:noProof/>
          <w:lang w:val="en-GB"/>
        </w:rPr>
        <w:t>or</w:t>
      </w:r>
      <w:r w:rsidRPr="00902F84" w:rsidR="00C81F5F">
        <w:rPr>
          <w:noProof/>
          <w:lang w:val="en-GB"/>
        </w:rPr>
        <w:t xml:space="preserve"> any other har</w:t>
      </w:r>
      <w:r w:rsidRPr="00902F84">
        <w:rPr>
          <w:noProof/>
          <w:lang w:val="en-GB"/>
        </w:rPr>
        <w:t>m.</w:t>
      </w:r>
      <w:r w:rsidR="005B206A">
        <w:rPr>
          <w:noProof/>
          <w:lang w:val="en-GB"/>
        </w:rPr>
        <w:t xml:space="preserve"> We</w:t>
      </w:r>
      <w:r w:rsidRPr="00902F84" w:rsidR="002A1D7F">
        <w:rPr>
          <w:noProof/>
          <w:lang w:val="en-GB"/>
        </w:rPr>
        <w:t xml:space="preserve"> firmly believe it is unacceptable to abuse power and positions of trust.</w:t>
      </w:r>
      <w:r w:rsidR="005B206A">
        <w:rPr>
          <w:noProof/>
          <w:lang w:val="en-GB"/>
        </w:rPr>
        <w:t xml:space="preserve"> </w:t>
      </w:r>
      <w:r w:rsidRPr="00902F84" w:rsidR="00B70761">
        <w:rPr>
          <w:rFonts w:cs="Arial"/>
          <w:noProof/>
          <w:color w:val="000000"/>
          <w:szCs w:val="20"/>
          <w:lang w:val="en-GB"/>
        </w:rPr>
        <w:t xml:space="preserve">Equally, each MRF </w:t>
      </w:r>
      <w:r w:rsidRPr="00902F84" w:rsidR="007F01B3">
        <w:rPr>
          <w:rFonts w:cs="Arial"/>
          <w:noProof/>
          <w:color w:val="000000"/>
          <w:szCs w:val="20"/>
          <w:lang w:val="en-GB"/>
        </w:rPr>
        <w:t>s</w:t>
      </w:r>
      <w:r w:rsidRPr="00902F84" w:rsidR="00B05ED2">
        <w:rPr>
          <w:rFonts w:cs="Arial"/>
          <w:noProof/>
          <w:color w:val="000000"/>
          <w:szCs w:val="20"/>
          <w:lang w:val="en-GB"/>
        </w:rPr>
        <w:t>taff member</w:t>
      </w:r>
      <w:r w:rsidRPr="00902F84" w:rsidR="00B70761">
        <w:rPr>
          <w:rFonts w:cs="Arial"/>
          <w:noProof/>
          <w:color w:val="000000"/>
          <w:szCs w:val="20"/>
          <w:lang w:val="en-GB"/>
        </w:rPr>
        <w:t>, volunteer</w:t>
      </w:r>
      <w:r w:rsidRPr="00902F84" w:rsidR="00B05ED2">
        <w:rPr>
          <w:rFonts w:cs="Arial"/>
          <w:noProof/>
          <w:color w:val="000000"/>
          <w:szCs w:val="20"/>
          <w:lang w:val="en-GB"/>
        </w:rPr>
        <w:t xml:space="preserve"> </w:t>
      </w:r>
      <w:r w:rsidRPr="00902F84" w:rsidR="004C7353">
        <w:rPr>
          <w:rFonts w:cs="Arial"/>
          <w:noProof/>
          <w:color w:val="000000"/>
          <w:szCs w:val="20"/>
          <w:lang w:val="en-GB"/>
        </w:rPr>
        <w:t>or associate</w:t>
      </w:r>
      <w:r w:rsidRPr="00902F84" w:rsidR="00B70761">
        <w:rPr>
          <w:rFonts w:cs="Arial"/>
          <w:noProof/>
          <w:color w:val="000000"/>
          <w:szCs w:val="20"/>
          <w:lang w:val="en-GB"/>
        </w:rPr>
        <w:t xml:space="preserve"> must have the opportuni</w:t>
      </w:r>
      <w:r w:rsidR="005B206A">
        <w:rPr>
          <w:rFonts w:cs="Arial"/>
          <w:noProof/>
          <w:color w:val="000000"/>
          <w:szCs w:val="20"/>
          <w:lang w:val="en-GB"/>
        </w:rPr>
        <w:t xml:space="preserve">ty to contribute fully to our </w:t>
      </w:r>
      <w:r w:rsidRPr="00902F84" w:rsidR="00B70761">
        <w:rPr>
          <w:rFonts w:cs="Arial"/>
          <w:noProof/>
          <w:color w:val="000000"/>
          <w:szCs w:val="20"/>
          <w:lang w:val="en-GB"/>
        </w:rPr>
        <w:t>work in a</w:t>
      </w:r>
      <w:r w:rsidRPr="00902F84" w:rsidR="00B05ED2">
        <w:rPr>
          <w:rFonts w:cs="Arial"/>
          <w:noProof/>
          <w:color w:val="000000"/>
          <w:szCs w:val="20"/>
          <w:lang w:val="en-GB"/>
        </w:rPr>
        <w:t xml:space="preserve"> safe and dignified</w:t>
      </w:r>
      <w:r w:rsidR="002E02C7">
        <w:rPr>
          <w:rFonts w:cs="Arial"/>
          <w:noProof/>
          <w:color w:val="000000"/>
          <w:szCs w:val="20"/>
          <w:lang w:val="en-GB"/>
        </w:rPr>
        <w:t xml:space="preserve"> environment.</w:t>
      </w:r>
    </w:p>
    <w:p w:rsidR="004E774D" w:rsidP="004E774D" w:rsidRDefault="004E774D" w14:paraId="5D0BDAB7" w14:textId="5497D512">
      <w:pPr>
        <w:pStyle w:val="Heading2"/>
        <w:rPr>
          <w:noProof/>
          <w:lang w:val="en-GB"/>
        </w:rPr>
      </w:pPr>
      <w:r>
        <w:rPr>
          <w:noProof/>
          <w:lang w:val="en-GB"/>
        </w:rPr>
        <w:t>Scope of Policy</w:t>
      </w:r>
    </w:p>
    <w:p w:rsidRPr="004E774D" w:rsidR="004E774D" w:rsidP="00755170" w:rsidRDefault="004E774D" w14:paraId="4ABC1AD6" w14:textId="6A2AA336">
      <w:pPr>
        <w:rPr>
          <w:lang w:val="en-GB"/>
        </w:rPr>
      </w:pPr>
      <w:r w:rsidRPr="004E774D">
        <w:rPr>
          <w:lang w:val="en-GB"/>
        </w:rPr>
        <w:t>This policy applies to all contracted staff, volunteers</w:t>
      </w:r>
      <w:r w:rsidR="00A9511C">
        <w:rPr>
          <w:lang w:val="en-GB"/>
        </w:rPr>
        <w:t xml:space="preserve"> (Ambassadors, and office-based volunteers)</w:t>
      </w:r>
      <w:r w:rsidRPr="004E774D">
        <w:rPr>
          <w:lang w:val="en-GB"/>
        </w:rPr>
        <w:t xml:space="preserve"> and associates. Associates include consulta</w:t>
      </w:r>
      <w:r w:rsidR="00D674DF">
        <w:rPr>
          <w:lang w:val="en-GB"/>
        </w:rPr>
        <w:t>nts supporting the work of MRF,</w:t>
      </w:r>
      <w:r w:rsidR="00DE72C4">
        <w:rPr>
          <w:lang w:val="en-GB"/>
        </w:rPr>
        <w:t xml:space="preserve"> </w:t>
      </w:r>
      <w:r w:rsidRPr="004E774D">
        <w:rPr>
          <w:lang w:val="en-GB"/>
        </w:rPr>
        <w:t xml:space="preserve">suppliers/service </w:t>
      </w:r>
      <w:r w:rsidRPr="00D85903">
        <w:rPr>
          <w:lang w:val="en-GB"/>
        </w:rPr>
        <w:t xml:space="preserve">providers and </w:t>
      </w:r>
      <w:r w:rsidRPr="006E16D3">
        <w:rPr>
          <w:lang w:val="en-GB"/>
        </w:rPr>
        <w:t>fundraisers working on behalf of MRF</w:t>
      </w:r>
      <w:r w:rsidR="00A9511C">
        <w:rPr>
          <w:lang w:val="en-GB"/>
        </w:rPr>
        <w:t xml:space="preserve"> (where MRF is aware of activities in advance)</w:t>
      </w:r>
      <w:r w:rsidRPr="00D85903">
        <w:rPr>
          <w:lang w:val="en-GB"/>
        </w:rPr>
        <w:t xml:space="preserve"> as </w:t>
      </w:r>
      <w:r w:rsidRPr="004E774D">
        <w:rPr>
          <w:lang w:val="en-GB"/>
        </w:rPr>
        <w:t xml:space="preserve">well as visitors to MRF </w:t>
      </w:r>
      <w:r w:rsidRPr="00A05DD0">
        <w:rPr>
          <w:lang w:val="en-GB"/>
        </w:rPr>
        <w:t>activities. Anyone undertaking activities on behalf of MRF will be expected to adhere to the principles of this policy.</w:t>
      </w:r>
      <w:r w:rsidRPr="004E774D">
        <w:rPr>
          <w:lang w:val="en-GB"/>
        </w:rPr>
        <w:t xml:space="preserve"> </w:t>
      </w:r>
    </w:p>
    <w:p w:rsidRPr="004E774D" w:rsidR="004E774D" w:rsidP="004E774D" w:rsidRDefault="004E774D" w14:paraId="2C625B06" w14:textId="1B216D4F">
      <w:pPr>
        <w:rPr>
          <w:lang w:val="en-GB"/>
        </w:rPr>
      </w:pPr>
      <w:r w:rsidRPr="004E774D">
        <w:rPr>
          <w:lang w:val="en-GB"/>
        </w:rPr>
        <w:t>In relation to staff and volunteers, this policy applies both during, after and in between work hours in both professional and personal lives.</w:t>
      </w:r>
    </w:p>
    <w:p w:rsidR="00D17C16" w:rsidP="00920F19" w:rsidRDefault="00D17C16" w14:paraId="7D377B12" w14:textId="54EF12ED">
      <w:pPr>
        <w:pStyle w:val="Heading2"/>
        <w:rPr>
          <w:rStyle w:val="Heading2Char"/>
          <w:noProof/>
          <w:lang w:val="en-GB"/>
        </w:rPr>
      </w:pPr>
      <w:r>
        <w:rPr>
          <w:rStyle w:val="Heading2Char"/>
          <w:noProof/>
          <w:lang w:val="en-GB"/>
        </w:rPr>
        <w:t xml:space="preserve">Guiding </w:t>
      </w:r>
      <w:r w:rsidR="00061EAC">
        <w:rPr>
          <w:rStyle w:val="Heading2Char"/>
          <w:noProof/>
          <w:lang w:val="en-GB"/>
        </w:rPr>
        <w:t xml:space="preserve">values and </w:t>
      </w:r>
      <w:r>
        <w:rPr>
          <w:rStyle w:val="Heading2Char"/>
          <w:noProof/>
          <w:lang w:val="en-GB"/>
        </w:rPr>
        <w:t>principles</w:t>
      </w:r>
    </w:p>
    <w:p w:rsidR="00061EAC" w:rsidP="00516128" w:rsidRDefault="00E7164B" w14:paraId="5B58BE0F" w14:textId="77777777">
      <w:pPr>
        <w:rPr>
          <w:noProof/>
          <w:lang w:val="en-GB"/>
        </w:rPr>
      </w:pPr>
      <w:r>
        <w:rPr>
          <w:noProof/>
          <w:lang w:val="en-GB"/>
        </w:rPr>
        <w:t xml:space="preserve">This policy has been created </w:t>
      </w:r>
      <w:r w:rsidRPr="00516128" w:rsidR="00516128">
        <w:rPr>
          <w:noProof/>
          <w:lang w:val="en-GB"/>
        </w:rPr>
        <w:t>in line with MRF’s organisational values</w:t>
      </w:r>
      <w:r w:rsidR="00061EAC">
        <w:rPr>
          <w:noProof/>
          <w:lang w:val="en-GB"/>
        </w:rPr>
        <w:t>:</w:t>
      </w:r>
    </w:p>
    <w:p w:rsidRPr="00755170" w:rsidR="00061EAC" w:rsidP="00516128" w:rsidRDefault="00061EAC" w14:paraId="29ECD0AE" w14:textId="30D7B688">
      <w:pPr>
        <w:rPr>
          <w:rFonts w:eastAsiaTheme="majorEastAsia" w:cstheme="majorBidi"/>
          <w:b/>
          <w:color w:val="582C83"/>
          <w:sz w:val="22"/>
          <w:szCs w:val="28"/>
        </w:rPr>
      </w:pPr>
      <w:r w:rsidRPr="00755170">
        <w:rPr>
          <w:rFonts w:eastAsiaTheme="majorEastAsia" w:cstheme="majorBidi"/>
          <w:b/>
          <w:color w:val="582C83"/>
          <w:sz w:val="22"/>
          <w:szCs w:val="28"/>
        </w:rPr>
        <w:t>Our values</w:t>
      </w:r>
      <w:r w:rsidRPr="00755170" w:rsidR="00E7164B">
        <w:rPr>
          <w:rFonts w:eastAsiaTheme="majorEastAsia" w:cstheme="majorBidi"/>
          <w:b/>
          <w:color w:val="582C83"/>
          <w:sz w:val="22"/>
          <w:szCs w:val="28"/>
        </w:rPr>
        <w:t xml:space="preserve"> </w:t>
      </w:r>
    </w:p>
    <w:p w:rsidRPr="00996441" w:rsidR="00061EAC" w:rsidP="00755170" w:rsidRDefault="00061EAC" w14:paraId="16AC2375" w14:textId="77777777">
      <w:pPr>
        <w:pStyle w:val="Bulletmike0"/>
        <w:spacing w:before="0" w:line="276" w:lineRule="auto"/>
        <w:ind w:left="357" w:hanging="357"/>
      </w:pPr>
      <w:r w:rsidRPr="00996441">
        <w:t xml:space="preserve">We are evidence </w:t>
      </w:r>
      <w:proofErr w:type="gramStart"/>
      <w:r w:rsidRPr="00996441">
        <w:t>led</w:t>
      </w:r>
      <w:proofErr w:type="gramEnd"/>
    </w:p>
    <w:p w:rsidRPr="00996441" w:rsidR="00061EAC" w:rsidP="00755170" w:rsidRDefault="00061EAC" w14:paraId="64D8F53A" w14:textId="77777777">
      <w:pPr>
        <w:pStyle w:val="Bulletmike0"/>
        <w:spacing w:before="0" w:line="276" w:lineRule="auto"/>
        <w:ind w:left="357" w:hanging="357"/>
      </w:pPr>
      <w:r w:rsidRPr="00996441">
        <w:t xml:space="preserve">We operate with </w:t>
      </w:r>
      <w:proofErr w:type="gramStart"/>
      <w:r w:rsidRPr="00996441">
        <w:t>integrity</w:t>
      </w:r>
      <w:proofErr w:type="gramEnd"/>
    </w:p>
    <w:p w:rsidRPr="00996441" w:rsidR="00061EAC" w:rsidP="00755170" w:rsidRDefault="00061EAC" w14:paraId="724494F9" w14:textId="77777777">
      <w:pPr>
        <w:pStyle w:val="Bulletmike0"/>
        <w:spacing w:before="0" w:line="276" w:lineRule="auto"/>
        <w:ind w:left="357" w:hanging="357"/>
      </w:pPr>
      <w:r w:rsidRPr="00996441">
        <w:t xml:space="preserve">We pursue our goals with </w:t>
      </w:r>
      <w:proofErr w:type="gramStart"/>
      <w:r w:rsidRPr="00996441">
        <w:t>determination</w:t>
      </w:r>
      <w:proofErr w:type="gramEnd"/>
    </w:p>
    <w:p w:rsidRPr="00996441" w:rsidR="00061EAC" w:rsidP="00755170" w:rsidRDefault="00061EAC" w14:paraId="4C140BAB" w14:textId="77777777">
      <w:pPr>
        <w:pStyle w:val="Bulletmike0"/>
        <w:spacing w:before="0" w:line="276" w:lineRule="auto"/>
        <w:ind w:left="357" w:hanging="357"/>
      </w:pPr>
      <w:r w:rsidRPr="00996441">
        <w:t xml:space="preserve">We are a passionate </w:t>
      </w:r>
      <w:proofErr w:type="gramStart"/>
      <w:r w:rsidRPr="00996441">
        <w:t>advocate</w:t>
      </w:r>
      <w:proofErr w:type="gramEnd"/>
    </w:p>
    <w:p w:rsidRPr="00996441" w:rsidR="00061EAC" w:rsidP="00755170" w:rsidRDefault="00061EAC" w14:paraId="381078A9" w14:textId="77777777">
      <w:pPr>
        <w:pStyle w:val="Bulletmike0"/>
        <w:spacing w:before="0" w:line="276" w:lineRule="auto"/>
        <w:ind w:left="357" w:hanging="357"/>
      </w:pPr>
      <w:r w:rsidRPr="00996441">
        <w:t xml:space="preserve">We collaborate to make </w:t>
      </w:r>
      <w:proofErr w:type="gramStart"/>
      <w:r w:rsidRPr="00996441">
        <w:t>progress</w:t>
      </w:r>
      <w:proofErr w:type="gramEnd"/>
    </w:p>
    <w:p w:rsidRPr="00996441" w:rsidR="00061EAC" w:rsidP="00755170" w:rsidRDefault="00061EAC" w14:paraId="6AF1C78E" w14:textId="77777777">
      <w:pPr>
        <w:pStyle w:val="Bulletmike0"/>
        <w:spacing w:before="0" w:line="276" w:lineRule="auto"/>
        <w:ind w:left="357" w:hanging="357"/>
      </w:pPr>
      <w:r w:rsidRPr="00996441">
        <w:t xml:space="preserve">We act with </w:t>
      </w:r>
      <w:proofErr w:type="gramStart"/>
      <w:r w:rsidRPr="00996441">
        <w:t>compassion</w:t>
      </w:r>
      <w:proofErr w:type="gramEnd"/>
    </w:p>
    <w:p w:rsidR="004D52C1" w:rsidP="00516128" w:rsidRDefault="00061EAC" w14:paraId="6FE909B2" w14:textId="24E1E759">
      <w:pPr>
        <w:rPr>
          <w:noProof/>
          <w:lang w:val="en-GB"/>
        </w:rPr>
      </w:pPr>
      <w:r>
        <w:rPr>
          <w:noProof/>
          <w:lang w:val="en-GB"/>
        </w:rPr>
        <w:lastRenderedPageBreak/>
        <w:br/>
      </w:r>
      <w:r w:rsidR="00E7164B">
        <w:rPr>
          <w:noProof/>
          <w:lang w:val="en-GB"/>
        </w:rPr>
        <w:t xml:space="preserve">These span all </w:t>
      </w:r>
      <w:r w:rsidR="00A574D8">
        <w:rPr>
          <w:noProof/>
          <w:lang w:val="en-GB"/>
        </w:rPr>
        <w:t xml:space="preserve">areas of our work </w:t>
      </w:r>
      <w:r w:rsidR="00E7164B">
        <w:rPr>
          <w:noProof/>
          <w:lang w:val="en-GB"/>
        </w:rPr>
        <w:t>including</w:t>
      </w:r>
      <w:r>
        <w:rPr>
          <w:noProof/>
          <w:lang w:val="en-GB"/>
        </w:rPr>
        <w:t>:</w:t>
      </w:r>
      <w:r w:rsidR="00775656">
        <w:rPr>
          <w:noProof/>
          <w:lang w:val="en-GB"/>
        </w:rPr>
        <w:t xml:space="preserve"> Research,</w:t>
      </w:r>
      <w:r w:rsidR="00413E90">
        <w:rPr>
          <w:noProof/>
          <w:lang w:val="en-GB"/>
        </w:rPr>
        <w:t>Communications</w:t>
      </w:r>
      <w:r w:rsidR="001F33C5">
        <w:rPr>
          <w:noProof/>
          <w:lang w:val="en-GB"/>
        </w:rPr>
        <w:t xml:space="preserve"> engagement and</w:t>
      </w:r>
      <w:r w:rsidR="00775656">
        <w:rPr>
          <w:noProof/>
          <w:lang w:val="en-GB"/>
        </w:rPr>
        <w:t xml:space="preserve"> Support Se</w:t>
      </w:r>
      <w:r w:rsidR="007A1D9F">
        <w:rPr>
          <w:noProof/>
          <w:lang w:val="en-GB"/>
        </w:rPr>
        <w:t>r</w:t>
      </w:r>
      <w:r w:rsidR="00775656">
        <w:rPr>
          <w:noProof/>
          <w:lang w:val="en-GB"/>
        </w:rPr>
        <w:t>v</w:t>
      </w:r>
      <w:r w:rsidR="00A574D8">
        <w:rPr>
          <w:noProof/>
          <w:lang w:val="en-GB"/>
        </w:rPr>
        <w:t>i</w:t>
      </w:r>
      <w:r w:rsidR="00775656">
        <w:rPr>
          <w:noProof/>
          <w:lang w:val="en-GB"/>
        </w:rPr>
        <w:t>c</w:t>
      </w:r>
      <w:r w:rsidR="00F65271">
        <w:rPr>
          <w:noProof/>
          <w:lang w:val="en-GB"/>
        </w:rPr>
        <w:t>es</w:t>
      </w:r>
      <w:r>
        <w:rPr>
          <w:noProof/>
          <w:lang w:val="en-GB"/>
        </w:rPr>
        <w:t>,</w:t>
      </w:r>
      <w:r w:rsidR="00775656">
        <w:rPr>
          <w:noProof/>
          <w:lang w:val="en-GB"/>
        </w:rPr>
        <w:t xml:space="preserve"> Fundrais</w:t>
      </w:r>
      <w:r w:rsidR="00A574D8">
        <w:rPr>
          <w:noProof/>
          <w:lang w:val="en-GB"/>
        </w:rPr>
        <w:t>ing</w:t>
      </w:r>
      <w:r>
        <w:rPr>
          <w:noProof/>
          <w:lang w:val="en-GB"/>
        </w:rPr>
        <w:t xml:space="preserve"> and </w:t>
      </w:r>
      <w:r w:rsidR="00D95C9D">
        <w:rPr>
          <w:noProof/>
          <w:lang w:val="en-GB"/>
        </w:rPr>
        <w:t>O</w:t>
      </w:r>
      <w:r w:rsidR="00E7492C">
        <w:rPr>
          <w:noProof/>
          <w:lang w:val="en-GB"/>
        </w:rPr>
        <w:t>peration</w:t>
      </w:r>
      <w:r w:rsidR="00D95C9D">
        <w:rPr>
          <w:noProof/>
          <w:lang w:val="en-GB"/>
        </w:rPr>
        <w:t>s</w:t>
      </w:r>
      <w:r w:rsidR="00E7492C">
        <w:rPr>
          <w:noProof/>
          <w:lang w:val="en-GB"/>
        </w:rPr>
        <w:t xml:space="preserve"> </w:t>
      </w:r>
      <w:r>
        <w:rPr>
          <w:noProof/>
          <w:lang w:val="en-GB"/>
        </w:rPr>
        <w:t>activities that support the</w:t>
      </w:r>
      <w:r w:rsidR="00963523">
        <w:rPr>
          <w:noProof/>
          <w:lang w:val="en-GB"/>
        </w:rPr>
        <w:t>m</w:t>
      </w:r>
      <w:r w:rsidR="00A574D8">
        <w:rPr>
          <w:noProof/>
          <w:lang w:val="en-GB"/>
        </w:rPr>
        <w:t xml:space="preserve">. </w:t>
      </w:r>
    </w:p>
    <w:p w:rsidR="0037066C" w:rsidP="00516128" w:rsidRDefault="00A574D8" w14:paraId="1F85682E" w14:textId="09F7C3BF">
      <w:pPr>
        <w:rPr>
          <w:noProof/>
          <w:lang w:val="en-GB"/>
        </w:rPr>
      </w:pPr>
      <w:r>
        <w:rPr>
          <w:noProof/>
          <w:lang w:val="en-GB"/>
        </w:rPr>
        <w:t>This policy also sets out our</w:t>
      </w:r>
      <w:r w:rsidRPr="00516128" w:rsidR="00516128">
        <w:rPr>
          <w:noProof/>
          <w:lang w:val="en-GB"/>
        </w:rPr>
        <w:t xml:space="preserve"> commit</w:t>
      </w:r>
      <w:r w:rsidR="00516128">
        <w:rPr>
          <w:noProof/>
          <w:lang w:val="en-GB"/>
        </w:rPr>
        <w:t xml:space="preserve">ment </w:t>
      </w:r>
      <w:r w:rsidRPr="00516128" w:rsidR="00516128">
        <w:rPr>
          <w:noProof/>
          <w:lang w:val="en-GB"/>
        </w:rPr>
        <w:t xml:space="preserve">to uphold </w:t>
      </w:r>
      <w:r w:rsidR="00516128">
        <w:rPr>
          <w:noProof/>
          <w:lang w:val="en-GB"/>
        </w:rPr>
        <w:t xml:space="preserve">relevant </w:t>
      </w:r>
      <w:r w:rsidRPr="00516128" w:rsidR="00516128">
        <w:rPr>
          <w:noProof/>
          <w:lang w:val="en-GB"/>
        </w:rPr>
        <w:t xml:space="preserve">international </w:t>
      </w:r>
      <w:r w:rsidR="00516128">
        <w:rPr>
          <w:noProof/>
          <w:lang w:val="en-GB"/>
        </w:rPr>
        <w:t xml:space="preserve">and national </w:t>
      </w:r>
      <w:r w:rsidRPr="00516128" w:rsidR="00516128">
        <w:rPr>
          <w:noProof/>
          <w:lang w:val="en-GB"/>
        </w:rPr>
        <w:t xml:space="preserve">standards which seek to protect children and vulnerable people, </w:t>
      </w:r>
      <w:r w:rsidR="00516128">
        <w:rPr>
          <w:noProof/>
          <w:lang w:val="en-GB"/>
        </w:rPr>
        <w:t>including the UN Convention of the Rights of the Child (1989)</w:t>
      </w:r>
      <w:r w:rsidR="008944D3">
        <w:rPr>
          <w:noProof/>
          <w:lang w:val="en-GB"/>
        </w:rPr>
        <w:t xml:space="preserve"> and other international convention</w:t>
      </w:r>
      <w:r w:rsidR="00D95C9D">
        <w:rPr>
          <w:noProof/>
          <w:lang w:val="en-GB"/>
        </w:rPr>
        <w:t>s</w:t>
      </w:r>
      <w:r w:rsidR="008944D3">
        <w:rPr>
          <w:noProof/>
          <w:lang w:val="en-GB"/>
        </w:rPr>
        <w:t xml:space="preserve">, </w:t>
      </w:r>
      <w:r w:rsidR="00D95C9D">
        <w:rPr>
          <w:noProof/>
          <w:lang w:val="en-GB"/>
        </w:rPr>
        <w:t xml:space="preserve">the </w:t>
      </w:r>
      <w:r w:rsidR="008944D3">
        <w:rPr>
          <w:noProof/>
          <w:lang w:val="en-GB"/>
        </w:rPr>
        <w:t>African Charter for the Rights and Welfare of Children</w:t>
      </w:r>
      <w:r w:rsidR="00516128">
        <w:rPr>
          <w:noProof/>
          <w:lang w:val="en-GB"/>
        </w:rPr>
        <w:t xml:space="preserve"> and the national legal framework</w:t>
      </w:r>
      <w:r w:rsidR="0037066C">
        <w:rPr>
          <w:noProof/>
          <w:lang w:val="en-GB"/>
        </w:rPr>
        <w:t>s</w:t>
      </w:r>
      <w:r w:rsidR="00516128">
        <w:rPr>
          <w:noProof/>
          <w:lang w:val="en-GB"/>
        </w:rPr>
        <w:t xml:space="preserve"> of the countries in which </w:t>
      </w:r>
      <w:r w:rsidR="008944D3">
        <w:rPr>
          <w:noProof/>
          <w:lang w:val="en-GB"/>
        </w:rPr>
        <w:t>MRF operates.</w:t>
      </w:r>
      <w:r w:rsidR="00061EAC">
        <w:rPr>
          <w:noProof/>
          <w:lang w:val="en-GB"/>
        </w:rPr>
        <w:t xml:space="preserve"> It it guided by the following principles:</w:t>
      </w:r>
    </w:p>
    <w:p w:rsidRPr="00755170" w:rsidR="00775656" w:rsidP="00C00838" w:rsidRDefault="004D52C1" w14:paraId="4681F250" w14:textId="0E1E0341">
      <w:pPr>
        <w:rPr>
          <w:rFonts w:eastAsiaTheme="majorEastAsia" w:cstheme="majorBidi"/>
          <w:b/>
          <w:color w:val="582C83"/>
          <w:sz w:val="22"/>
          <w:szCs w:val="28"/>
        </w:rPr>
      </w:pPr>
      <w:r w:rsidRPr="00755170">
        <w:rPr>
          <w:rFonts w:eastAsiaTheme="majorEastAsia" w:cstheme="majorBidi"/>
          <w:b/>
          <w:color w:val="582C83"/>
          <w:sz w:val="22"/>
          <w:szCs w:val="28"/>
        </w:rPr>
        <w:t xml:space="preserve">Principles </w:t>
      </w:r>
    </w:p>
    <w:p w:rsidRPr="006E16D3" w:rsidR="00A519EA" w:rsidP="006E16D3" w:rsidRDefault="00D674DF" w14:paraId="25FE0275" w14:textId="7B23A58D">
      <w:pPr>
        <w:pStyle w:val="Bulletmike0"/>
        <w:numPr>
          <w:ilvl w:val="0"/>
          <w:numId w:val="34"/>
        </w:numPr>
      </w:pPr>
      <w:r>
        <w:rPr>
          <w:lang w:val="en-US"/>
        </w:rPr>
        <w:t>Everyone has</w:t>
      </w:r>
      <w:r w:rsidR="00D95C9D">
        <w:rPr>
          <w:lang w:val="en-US"/>
        </w:rPr>
        <w:t>:</w:t>
      </w:r>
    </w:p>
    <w:p w:rsidR="00A519EA" w:rsidP="00D95C9D" w:rsidRDefault="001F4EFB" w14:paraId="1C87B140" w14:textId="28E84C36">
      <w:pPr>
        <w:pStyle w:val="Bulletmike0"/>
        <w:numPr>
          <w:ilvl w:val="1"/>
          <w:numId w:val="47"/>
        </w:numPr>
        <w:tabs>
          <w:tab w:val="clear" w:pos="1701"/>
          <w:tab w:val="left" w:pos="1418"/>
        </w:tabs>
        <w:ind w:left="1134" w:hanging="425"/>
      </w:pPr>
      <w:r>
        <w:rPr>
          <w:lang w:val="en-US"/>
        </w:rPr>
        <w:t>R</w:t>
      </w:r>
      <w:r w:rsidR="006E16D3">
        <w:rPr>
          <w:lang w:val="en-US"/>
        </w:rPr>
        <w:t>ights and duties</w:t>
      </w:r>
      <w:r w:rsidRPr="00996441" w:rsidR="006E16D3">
        <w:t xml:space="preserve"> </w:t>
      </w:r>
      <w:r w:rsidRPr="00996441" w:rsidR="00B22E7E">
        <w:t>regardless of age, disability, gender, racial heritage, religious belief, sexual orientati</w:t>
      </w:r>
      <w:r w:rsidR="00BA3748">
        <w:t>on or identity, including</w:t>
      </w:r>
      <w:r w:rsidRPr="00996441" w:rsidR="00B22E7E">
        <w:t xml:space="preserve"> the right to equal protection </w:t>
      </w:r>
      <w:r w:rsidRPr="00996441" w:rsidR="004E774D">
        <w:t xml:space="preserve">from all types of harm or </w:t>
      </w:r>
      <w:proofErr w:type="gramStart"/>
      <w:r w:rsidRPr="00996441" w:rsidR="004E774D">
        <w:t>abuse</w:t>
      </w:r>
      <w:proofErr w:type="gramEnd"/>
    </w:p>
    <w:p w:rsidRPr="00996441" w:rsidR="00A519EA" w:rsidP="00D95C9D" w:rsidRDefault="001F4EFB" w14:paraId="5A254F9D" w14:textId="5DF47919">
      <w:pPr>
        <w:pStyle w:val="Bulletmike0"/>
        <w:numPr>
          <w:ilvl w:val="1"/>
          <w:numId w:val="47"/>
        </w:numPr>
        <w:tabs>
          <w:tab w:val="clear" w:pos="1701"/>
          <w:tab w:val="left" w:pos="1418"/>
        </w:tabs>
        <w:ind w:left="1134" w:hanging="425"/>
      </w:pPr>
      <w:r>
        <w:t>A</w:t>
      </w:r>
      <w:r w:rsidRPr="00996441" w:rsidR="00A519EA">
        <w:t xml:space="preserve"> duty to support the protection of children and vulnerable adults and should be aware of their obligations and respond appropriately to any concerns or potential breaches of the </w:t>
      </w:r>
      <w:proofErr w:type="gramStart"/>
      <w:r w:rsidRPr="00996441" w:rsidR="00A519EA">
        <w:t>policy</w:t>
      </w:r>
      <w:proofErr w:type="gramEnd"/>
    </w:p>
    <w:p w:rsidR="003E1C9E" w:rsidP="003E1C9E" w:rsidRDefault="00A519EA" w14:paraId="1B630429" w14:textId="77777777">
      <w:pPr>
        <w:pStyle w:val="Bulletmike0"/>
        <w:numPr>
          <w:ilvl w:val="0"/>
          <w:numId w:val="34"/>
        </w:numPr>
      </w:pPr>
      <w:r>
        <w:t xml:space="preserve">Some people need specific consideration: </w:t>
      </w:r>
    </w:p>
    <w:p w:rsidRPr="00D95C9D" w:rsidR="00B22E7E" w:rsidP="00D95C9D" w:rsidRDefault="001F4EFB" w14:paraId="41D1C3BD" w14:textId="2EF4CC2E">
      <w:pPr>
        <w:pStyle w:val="Bulletmike0"/>
        <w:numPr>
          <w:ilvl w:val="1"/>
          <w:numId w:val="47"/>
        </w:numPr>
        <w:tabs>
          <w:tab w:val="clear" w:pos="1701"/>
          <w:tab w:val="left" w:pos="1418"/>
        </w:tabs>
        <w:ind w:left="1134" w:hanging="425"/>
        <w:rPr>
          <w:lang w:val="en-US"/>
        </w:rPr>
      </w:pPr>
      <w:r>
        <w:rPr>
          <w:lang w:val="en-US"/>
        </w:rPr>
        <w:t>Due to being</w:t>
      </w:r>
      <w:r w:rsidRPr="00D95C9D" w:rsidR="00B22E7E">
        <w:rPr>
          <w:lang w:val="en-US"/>
        </w:rPr>
        <w:t xml:space="preserve"> additionally vulnerable because of the impact of previous experiences, their level of dependency, or communication or other difficulties which may mean that they face increased protection </w:t>
      </w:r>
      <w:proofErr w:type="gramStart"/>
      <w:r w:rsidRPr="00D95C9D" w:rsidR="00B22E7E">
        <w:rPr>
          <w:lang w:val="en-US"/>
        </w:rPr>
        <w:t>risks</w:t>
      </w:r>
      <w:proofErr w:type="gramEnd"/>
    </w:p>
    <w:p w:rsidR="00A519EA" w:rsidP="006E16D3" w:rsidRDefault="00A519EA" w14:paraId="5186C347" w14:textId="54B39B20">
      <w:pPr>
        <w:pStyle w:val="Bulletmike0"/>
        <w:numPr>
          <w:ilvl w:val="0"/>
          <w:numId w:val="34"/>
        </w:numPr>
      </w:pPr>
      <w:r>
        <w:t>MRF cares and acts in confidence:</w:t>
      </w:r>
    </w:p>
    <w:p w:rsidRPr="00D95C9D" w:rsidR="00A519EA" w:rsidP="00D95C9D" w:rsidRDefault="00A519EA" w14:paraId="4BDC5CBD" w14:textId="6C74E7FD">
      <w:pPr>
        <w:pStyle w:val="Bulletmike0"/>
        <w:numPr>
          <w:ilvl w:val="1"/>
          <w:numId w:val="47"/>
        </w:numPr>
        <w:tabs>
          <w:tab w:val="clear" w:pos="1701"/>
          <w:tab w:val="left" w:pos="1418"/>
        </w:tabs>
        <w:ind w:left="1134" w:hanging="425"/>
        <w:rPr>
          <w:lang w:val="en-US"/>
        </w:rPr>
      </w:pPr>
      <w:r w:rsidRPr="00D95C9D">
        <w:rPr>
          <w:lang w:val="en-US"/>
        </w:rPr>
        <w:t>We h</w:t>
      </w:r>
      <w:r w:rsidRPr="00D95C9D" w:rsidR="00B22E7E">
        <w:rPr>
          <w:lang w:val="en-US"/>
        </w:rPr>
        <w:t>a</w:t>
      </w:r>
      <w:r w:rsidRPr="00D95C9D">
        <w:rPr>
          <w:lang w:val="en-US"/>
        </w:rPr>
        <w:t>ve</w:t>
      </w:r>
      <w:r w:rsidRPr="00D95C9D" w:rsidR="00B22E7E">
        <w:rPr>
          <w:lang w:val="en-US"/>
        </w:rPr>
        <w:t xml:space="preserve"> a duty of care to those with whom </w:t>
      </w:r>
      <w:r w:rsidRPr="00D95C9D">
        <w:rPr>
          <w:lang w:val="en-US"/>
        </w:rPr>
        <w:t xml:space="preserve">we </w:t>
      </w:r>
      <w:r w:rsidRPr="00D95C9D" w:rsidR="00B22E7E">
        <w:rPr>
          <w:lang w:val="en-US"/>
        </w:rPr>
        <w:t xml:space="preserve">work, are in contact with, or are affected by </w:t>
      </w:r>
      <w:r w:rsidR="001F4EFB">
        <w:rPr>
          <w:lang w:val="en-US"/>
        </w:rPr>
        <w:t>our</w:t>
      </w:r>
      <w:r w:rsidRPr="00D95C9D" w:rsidR="00B22E7E">
        <w:rPr>
          <w:lang w:val="en-US"/>
        </w:rPr>
        <w:t xml:space="preserve"> work and </w:t>
      </w:r>
      <w:proofErr w:type="gramStart"/>
      <w:r w:rsidRPr="00D95C9D" w:rsidR="00B22E7E">
        <w:rPr>
          <w:lang w:val="en-US"/>
        </w:rPr>
        <w:t>operations</w:t>
      </w:r>
      <w:proofErr w:type="gramEnd"/>
    </w:p>
    <w:p w:rsidRPr="00D95C9D" w:rsidR="00A519EA" w:rsidP="00D95C9D" w:rsidRDefault="00A519EA" w14:paraId="2FCFB5E2" w14:textId="5BF4CC45">
      <w:pPr>
        <w:pStyle w:val="Bulletmike0"/>
        <w:numPr>
          <w:ilvl w:val="1"/>
          <w:numId w:val="47"/>
        </w:numPr>
        <w:tabs>
          <w:tab w:val="clear" w:pos="1701"/>
          <w:tab w:val="left" w:pos="1418"/>
        </w:tabs>
        <w:ind w:left="1134" w:hanging="425"/>
        <w:rPr>
          <w:lang w:val="en-US"/>
        </w:rPr>
      </w:pPr>
      <w:r w:rsidRPr="00D95C9D">
        <w:rPr>
          <w:lang w:val="en-US"/>
        </w:rPr>
        <w:t xml:space="preserve">We will provide a safe physical environment for all by applying health and safety measures in accordance with the law and regulatory </w:t>
      </w:r>
      <w:proofErr w:type="gramStart"/>
      <w:r w:rsidRPr="00D95C9D">
        <w:rPr>
          <w:lang w:val="en-US"/>
        </w:rPr>
        <w:t>guidance</w:t>
      </w:r>
      <w:proofErr w:type="gramEnd"/>
    </w:p>
    <w:p w:rsidRPr="00D95C9D" w:rsidR="004D52C1" w:rsidP="00D95C9D" w:rsidRDefault="004D52C1" w14:paraId="0D6C71CD" w14:textId="594D5A8B">
      <w:pPr>
        <w:pStyle w:val="Bulletmike0"/>
        <w:numPr>
          <w:ilvl w:val="1"/>
          <w:numId w:val="47"/>
        </w:numPr>
        <w:tabs>
          <w:tab w:val="clear" w:pos="1701"/>
          <w:tab w:val="left" w:pos="1418"/>
        </w:tabs>
        <w:ind w:left="1134" w:hanging="425"/>
        <w:rPr>
          <w:lang w:val="en-US"/>
        </w:rPr>
      </w:pPr>
      <w:r w:rsidRPr="00D95C9D">
        <w:rPr>
          <w:lang w:val="en-US"/>
        </w:rPr>
        <w:t xml:space="preserve">All safeguarding concerns/reports/investigations will be dealt with </w:t>
      </w:r>
      <w:r w:rsidRPr="00D95C9D" w:rsidR="006D319F">
        <w:rPr>
          <w:lang w:val="en-US"/>
        </w:rPr>
        <w:t xml:space="preserve">confidentially </w:t>
      </w:r>
      <w:r w:rsidRPr="00D95C9D">
        <w:rPr>
          <w:lang w:val="en-US"/>
        </w:rPr>
        <w:t xml:space="preserve">and all records will be held securely by the </w:t>
      </w:r>
      <w:r w:rsidRPr="00D95C9D" w:rsidR="000F18AB">
        <w:rPr>
          <w:lang w:val="en-US"/>
        </w:rPr>
        <w:t xml:space="preserve">nominated </w:t>
      </w:r>
      <w:r w:rsidRPr="00D95C9D">
        <w:rPr>
          <w:lang w:val="en-US"/>
        </w:rPr>
        <w:t>Safeguarding Officer</w:t>
      </w:r>
    </w:p>
    <w:p w:rsidR="00DC5F63" w:rsidP="00DC5F63" w:rsidRDefault="00DC5F63" w14:paraId="2FCEA4A2" w14:textId="77777777">
      <w:pPr>
        <w:pStyle w:val="Bulletmike0"/>
        <w:numPr>
          <w:ilvl w:val="0"/>
          <w:numId w:val="0"/>
        </w:numPr>
      </w:pPr>
    </w:p>
    <w:p w:rsidRPr="006D319F" w:rsidR="00DC5F63" w:rsidP="00DC5F63" w:rsidRDefault="00DC5F63" w14:paraId="6B3E83EF" w14:textId="77777777">
      <w:pPr>
        <w:pStyle w:val="Heading2"/>
        <w:rPr>
          <w:rFonts w:cs="Arial"/>
          <w:noProof/>
          <w:color w:val="404040"/>
          <w:lang w:val="en-GB"/>
        </w:rPr>
      </w:pPr>
      <w:r w:rsidRPr="00902F84">
        <w:rPr>
          <w:rStyle w:val="Heading2Char"/>
          <w:noProof/>
          <w:lang w:val="en-GB"/>
        </w:rPr>
        <w:t>Definitions</w:t>
      </w:r>
      <w:r w:rsidRPr="00902F84">
        <w:rPr>
          <w:rFonts w:cs="Arial"/>
          <w:noProof/>
          <w:color w:val="404040"/>
          <w:lang w:val="en-GB"/>
        </w:rPr>
        <w:t xml:space="preserve"> </w:t>
      </w:r>
    </w:p>
    <w:p w:rsidR="00DC5F63" w:rsidP="00DC5F63" w:rsidRDefault="00DC5F63" w14:paraId="585848A1" w14:textId="40E5B0ED">
      <w:pPr>
        <w:rPr>
          <w:noProof/>
          <w:lang w:val="en-GB"/>
        </w:rPr>
      </w:pPr>
      <w:r w:rsidRPr="00902F84">
        <w:rPr>
          <w:b/>
          <w:noProof/>
          <w:lang w:val="en-GB"/>
        </w:rPr>
        <w:t>Abuse</w:t>
      </w:r>
      <w:r>
        <w:rPr>
          <w:b/>
          <w:noProof/>
          <w:lang w:val="en-GB"/>
        </w:rPr>
        <w:t xml:space="preserve"> </w:t>
      </w:r>
      <w:r w:rsidRPr="00902F84" w:rsidR="003D29BA">
        <w:rPr>
          <w:noProof/>
          <w:lang w:val="en-GB"/>
        </w:rPr>
        <w:t>–</w:t>
      </w:r>
      <w:r w:rsidRPr="007B7B4A">
        <w:rPr>
          <w:noProof/>
          <w:lang w:val="en-GB"/>
        </w:rPr>
        <w:t xml:space="preserve"> mistreatment by any other person or persons that violates a person’s human and civil rights.</w:t>
      </w:r>
      <w:r>
        <w:rPr>
          <w:noProof/>
          <w:lang w:val="en-GB"/>
        </w:rPr>
        <w:t xml:space="preserve">  Child abuse</w:t>
      </w:r>
      <w:r w:rsidRPr="00902F84">
        <w:rPr>
          <w:noProof/>
          <w:lang w:val="en-GB"/>
        </w:rPr>
        <w:t xml:space="preserve"> </w:t>
      </w:r>
      <w:r>
        <w:rPr>
          <w:noProof/>
          <w:lang w:val="en-GB"/>
        </w:rPr>
        <w:t>is defined as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r>
        <w:rPr>
          <w:rStyle w:val="FootnoteReference"/>
          <w:noProof/>
          <w:lang w:val="en-GB"/>
        </w:rPr>
        <w:footnoteReference w:id="1"/>
      </w:r>
      <w:r>
        <w:rPr>
          <w:noProof/>
          <w:lang w:val="en-GB"/>
        </w:rPr>
        <w:t>.  Adults may also be vulnerable to abuse and our</w:t>
      </w:r>
      <w:r w:rsidRPr="007B7B4A">
        <w:rPr>
          <w:noProof/>
          <w:lang w:val="en-GB"/>
        </w:rPr>
        <w:t xml:space="preserve"> Safeguarding Policy aims to be inclusive of both children and vulnerable adults.</w:t>
      </w:r>
    </w:p>
    <w:p w:rsidRPr="00902F84" w:rsidR="009C1B70" w:rsidP="009C1B70" w:rsidRDefault="009C1B70" w14:paraId="1C4BDF62" w14:textId="77777777">
      <w:pPr>
        <w:rPr>
          <w:noProof/>
          <w:lang w:val="en-GB"/>
        </w:rPr>
      </w:pPr>
      <w:r w:rsidRPr="00902F84">
        <w:rPr>
          <w:b/>
          <w:noProof/>
          <w:lang w:val="en-GB"/>
        </w:rPr>
        <w:t>Child</w:t>
      </w:r>
      <w:r w:rsidRPr="00902F84">
        <w:rPr>
          <w:noProof/>
          <w:lang w:val="en-GB"/>
        </w:rPr>
        <w:t xml:space="preserve"> – any individual under the age of 18, irrespective of local country definitions of when a child reaches adulthood. </w:t>
      </w:r>
    </w:p>
    <w:p w:rsidR="00DC5F63" w:rsidP="00DC5F63" w:rsidRDefault="00DC5F63" w14:paraId="4DE73C67" w14:textId="1E94DDBB">
      <w:pPr>
        <w:rPr>
          <w:noProof/>
          <w:lang w:val="en-GB"/>
        </w:rPr>
      </w:pPr>
      <w:r w:rsidRPr="00902F84">
        <w:rPr>
          <w:b/>
          <w:noProof/>
          <w:lang w:val="en-GB"/>
        </w:rPr>
        <w:t>Safeguarding</w:t>
      </w:r>
      <w:r>
        <w:rPr>
          <w:noProof/>
          <w:lang w:val="en-GB"/>
        </w:rPr>
        <w:t xml:space="preserve"> </w:t>
      </w:r>
      <w:r w:rsidRPr="00902F84" w:rsidR="003D29BA">
        <w:rPr>
          <w:noProof/>
          <w:lang w:val="en-GB"/>
        </w:rPr>
        <w:t>–</w:t>
      </w:r>
      <w:r>
        <w:rPr>
          <w:noProof/>
          <w:lang w:val="en-GB"/>
        </w:rPr>
        <w:t xml:space="preserve"> </w:t>
      </w:r>
      <w:r w:rsidRPr="00902F84">
        <w:rPr>
          <w:noProof/>
          <w:lang w:val="en-GB"/>
        </w:rPr>
        <w:t>the responsibility that organisations have to ma</w:t>
      </w:r>
      <w:r w:rsidR="003D29BA">
        <w:rPr>
          <w:noProof/>
          <w:lang w:val="en-GB"/>
        </w:rPr>
        <w:t>ke sure their staff, operations</w:t>
      </w:r>
      <w:r w:rsidRPr="00902F84">
        <w:rPr>
          <w:noProof/>
          <w:lang w:val="en-GB"/>
        </w:rPr>
        <w:t xml:space="preserve"> and programmes do no harm to children and vulnerable adults, and that they do not expose them to the </w:t>
      </w:r>
      <w:r w:rsidRPr="00902F84">
        <w:rPr>
          <w:noProof/>
          <w:lang w:val="en-GB"/>
        </w:rPr>
        <w:lastRenderedPageBreak/>
        <w:t>risk of harm and abuse. P</w:t>
      </w:r>
      <w:r w:rsidR="000F18AB">
        <w:rPr>
          <w:noProof/>
          <w:lang w:val="en-GB"/>
        </w:rPr>
        <w:t>rotection from</w:t>
      </w:r>
      <w:r>
        <w:rPr>
          <w:noProof/>
          <w:lang w:val="en-GB"/>
        </w:rPr>
        <w:t xml:space="preserve"> </w:t>
      </w:r>
      <w:r w:rsidRPr="00902F84">
        <w:rPr>
          <w:noProof/>
          <w:lang w:val="en-GB"/>
        </w:rPr>
        <w:t>S</w:t>
      </w:r>
      <w:r>
        <w:rPr>
          <w:noProof/>
          <w:lang w:val="en-GB"/>
        </w:rPr>
        <w:t xml:space="preserve">exual </w:t>
      </w:r>
      <w:r w:rsidRPr="00902F84">
        <w:rPr>
          <w:noProof/>
          <w:lang w:val="en-GB"/>
        </w:rPr>
        <w:t>E</w:t>
      </w:r>
      <w:r>
        <w:rPr>
          <w:noProof/>
          <w:lang w:val="en-GB"/>
        </w:rPr>
        <w:t xml:space="preserve">xploitation and Abuse (PSEA) </w:t>
      </w:r>
      <w:r w:rsidRPr="00902F84">
        <w:rPr>
          <w:noProof/>
          <w:lang w:val="en-GB"/>
        </w:rPr>
        <w:t xml:space="preserve">and child protection come under this umbrella term. </w:t>
      </w:r>
      <w:r>
        <w:rPr>
          <w:noProof/>
          <w:lang w:val="en-GB"/>
        </w:rPr>
        <w:t xml:space="preserve">This does </w:t>
      </w:r>
      <w:r w:rsidRPr="00902F84">
        <w:rPr>
          <w:noProof/>
          <w:lang w:val="en-GB"/>
        </w:rPr>
        <w:t xml:space="preserve">not include sexual harassment of staff by staff, which is covered by </w:t>
      </w:r>
      <w:hyperlink w:history="1" r:id="rId11">
        <w:r w:rsidR="00365D66">
          <w:rPr>
            <w:rStyle w:val="Hyperlink"/>
            <w:noProof/>
            <w:lang w:val="en-GB"/>
          </w:rPr>
          <w:t>MRF's Personal Harassment Policy</w:t>
        </w:r>
      </w:hyperlink>
    </w:p>
    <w:p w:rsidR="009C1B70" w:rsidP="009C1B70" w:rsidRDefault="009C1B70" w14:paraId="74C60A94" w14:textId="7FD020F6">
      <w:pPr>
        <w:rPr>
          <w:noProof/>
          <w:lang w:val="en-GB"/>
        </w:rPr>
      </w:pPr>
      <w:r w:rsidRPr="00902F84">
        <w:rPr>
          <w:b/>
          <w:noProof/>
          <w:lang w:val="en-GB"/>
        </w:rPr>
        <w:t xml:space="preserve">Vulnerable Adult </w:t>
      </w:r>
      <w:r w:rsidRPr="00902F84" w:rsidR="00FD22D2">
        <w:rPr>
          <w:noProof/>
          <w:lang w:val="en-GB"/>
        </w:rPr>
        <w:t>–</w:t>
      </w:r>
      <w:r w:rsidRPr="00902F84">
        <w:rPr>
          <w:noProof/>
          <w:lang w:val="en-GB"/>
        </w:rPr>
        <w:t xml:space="preserve"> A person aged 18 or over who may be at additional risk of harm and abuse or in need of support due to mental health problems, learning disability, physical disability or other reason which put them at increased risk of harm and abuse. </w:t>
      </w:r>
    </w:p>
    <w:p w:rsidRPr="00902F84" w:rsidR="00DC5F63" w:rsidP="00DC5F63" w:rsidRDefault="00DC5F63" w14:paraId="3B05152F" w14:textId="77777777">
      <w:pPr>
        <w:rPr>
          <w:noProof/>
          <w:lang w:val="en-GB"/>
        </w:rPr>
      </w:pPr>
      <w:r>
        <w:rPr>
          <w:noProof/>
          <w:lang w:val="en-GB"/>
        </w:rPr>
        <w:t xml:space="preserve">Further definitions can be seen in </w:t>
      </w:r>
      <w:hyperlink w:history="1" w:anchor="_A_–_Defintions">
        <w:r w:rsidRPr="006D319F">
          <w:rPr>
            <w:rStyle w:val="Hyperlink"/>
            <w:noProof/>
            <w:lang w:val="en-GB"/>
          </w:rPr>
          <w:t>Appendix A</w:t>
        </w:r>
      </w:hyperlink>
    </w:p>
    <w:p w:rsidRPr="004902E3" w:rsidR="007E69EC" w:rsidP="008F03A4" w:rsidRDefault="007E69EC" w14:paraId="6F91C722" w14:textId="1C65E4DB">
      <w:pPr>
        <w:pStyle w:val="Heading2"/>
        <w:rPr>
          <w:noProof/>
          <w:lang w:val="en-GB"/>
        </w:rPr>
      </w:pPr>
      <w:r w:rsidRPr="004902E3">
        <w:rPr>
          <w:noProof/>
          <w:lang w:val="en-GB"/>
        </w:rPr>
        <w:t>Our Commitment</w:t>
      </w:r>
      <w:r w:rsidR="00D014B8">
        <w:rPr>
          <w:noProof/>
          <w:lang w:val="en-GB"/>
        </w:rPr>
        <w:t>s</w:t>
      </w:r>
      <w:r w:rsidRPr="004902E3">
        <w:rPr>
          <w:noProof/>
          <w:lang w:val="en-GB"/>
        </w:rPr>
        <w:t xml:space="preserve"> </w:t>
      </w:r>
    </w:p>
    <w:p w:rsidRPr="00374E5F" w:rsidR="00AA751C" w:rsidP="00C6565F" w:rsidRDefault="00DE72C4" w14:paraId="505B6CDB" w14:textId="6D5697B7">
      <w:r>
        <w:rPr>
          <w:noProof/>
          <w:lang w:val="en-GB"/>
        </w:rPr>
        <w:t xml:space="preserve">MRF </w:t>
      </w:r>
      <w:r w:rsidRPr="004902E3">
        <w:rPr>
          <w:noProof/>
          <w:lang w:val="en-GB"/>
        </w:rPr>
        <w:t>makes commi</w:t>
      </w:r>
      <w:r>
        <w:rPr>
          <w:noProof/>
          <w:lang w:val="en-GB"/>
        </w:rPr>
        <w:t>tments in a number of key areas</w:t>
      </w:r>
      <w:r w:rsidR="00C6565F">
        <w:rPr>
          <w:noProof/>
          <w:lang w:val="en-GB"/>
        </w:rPr>
        <w:t>:</w:t>
      </w:r>
      <w:r>
        <w:rPr>
          <w:noProof/>
          <w:lang w:val="en-GB"/>
        </w:rPr>
        <w:t xml:space="preserve"> </w:t>
      </w:r>
    </w:p>
    <w:p w:rsidRPr="005B29EB" w:rsidR="00C6565F" w:rsidP="005B29EB" w:rsidRDefault="00C6565F" w14:paraId="78682596" w14:textId="062F5E57">
      <w:pPr>
        <w:pStyle w:val="Heading3"/>
        <w:rPr>
          <w:b/>
          <w:noProof/>
          <w:lang w:val="en-GB"/>
        </w:rPr>
      </w:pPr>
      <w:r w:rsidRPr="005B29EB">
        <w:rPr>
          <w:b/>
          <w:color w:val="582C83"/>
          <w:szCs w:val="28"/>
        </w:rPr>
        <w:t>Governance &amp; accountability</w:t>
      </w:r>
      <w:r w:rsidR="005B29EB">
        <w:rPr>
          <w:b/>
          <w:noProof/>
          <w:lang w:val="en-GB"/>
        </w:rPr>
        <w:t xml:space="preserve"> </w:t>
      </w:r>
    </w:p>
    <w:p w:rsidRPr="00D674DF" w:rsidR="0091294C" w:rsidP="003E1C9E" w:rsidRDefault="0091294C" w14:paraId="4F4DDA26" w14:textId="743D5415">
      <w:pPr>
        <w:pStyle w:val="Bulletmike0"/>
        <w:rPr>
          <w:rStyle w:val="Hyperlink"/>
          <w:rFonts w:eastAsiaTheme="majorEastAsia"/>
          <w:color w:val="auto"/>
        </w:rPr>
      </w:pPr>
      <w:r w:rsidRPr="003E1C9E">
        <w:t>The Board of Trustees ha</w:t>
      </w:r>
      <w:r w:rsidR="00CD1623">
        <w:t>s</w:t>
      </w:r>
      <w:r w:rsidRPr="003E1C9E">
        <w:t xml:space="preserve"> the primary role in dealing appropriately with safeguarding issues and Trustees need to be clear about their responsibilities. They are required to r</w:t>
      </w:r>
      <w:r w:rsidR="00CD1623">
        <w:t xml:space="preserve">eport </w:t>
      </w:r>
      <w:r w:rsidRPr="003E1C9E" w:rsidR="00CD1623">
        <w:t xml:space="preserve">“incidents of a serious nature” </w:t>
      </w:r>
      <w:r w:rsidR="00CD1623">
        <w:t>to the Charity Commission</w:t>
      </w:r>
      <w:r w:rsidRPr="003E1C9E">
        <w:t xml:space="preserve"> – see</w:t>
      </w:r>
      <w:r w:rsidR="00D25B40">
        <w:t>:</w:t>
      </w:r>
      <w:r w:rsidRPr="003E1C9E">
        <w:t xml:space="preserve"> </w:t>
      </w:r>
      <w:proofErr w:type="gramStart"/>
      <w:r w:rsidRPr="00317C3E" w:rsidR="00D329E6">
        <w:t>https://www.gov.uk/guidance/how-to-report-a-serious-incident-in-your-charity#full-publication</w:t>
      </w:r>
      <w:proofErr w:type="gramEnd"/>
      <w:r w:rsidR="00D329E6">
        <w:rPr>
          <w:rStyle w:val="Hyperlink"/>
          <w:rFonts w:eastAsiaTheme="majorEastAsia"/>
          <w:color w:val="auto"/>
        </w:rPr>
        <w:t xml:space="preserve">   </w:t>
      </w:r>
    </w:p>
    <w:p w:rsidRPr="00453DA3" w:rsidR="00C6565F" w:rsidP="003E1C9E" w:rsidRDefault="00C6565F" w14:paraId="4E76D464" w14:textId="4633DCFC">
      <w:pPr>
        <w:pStyle w:val="Bulletmike0"/>
        <w:rPr>
          <w:color w:val="301D7D" w:themeColor="accent3" w:themeShade="80"/>
          <w:u w:val="single"/>
        </w:rPr>
      </w:pPr>
      <w:r w:rsidRPr="003E1C9E">
        <w:t xml:space="preserve">The Board of Trustees </w:t>
      </w:r>
      <w:r w:rsidRPr="003E1C9E" w:rsidR="00C766F0">
        <w:t xml:space="preserve">will </w:t>
      </w:r>
      <w:r w:rsidRPr="003E1C9E">
        <w:t>review and update this policy, t</w:t>
      </w:r>
      <w:r w:rsidR="005507B6">
        <w:t xml:space="preserve">he </w:t>
      </w:r>
      <w:hyperlink w:history="1" r:id="rId12">
        <w:r w:rsidR="00D71116">
          <w:rPr>
            <w:rStyle w:val="Hyperlink"/>
          </w:rPr>
          <w:t>Safeguarding-procedures</w:t>
        </w:r>
      </w:hyperlink>
      <w:r w:rsidR="00D71116">
        <w:t xml:space="preserve"> </w:t>
      </w:r>
      <w:r w:rsidRPr="00F97E3A">
        <w:t>a</w:t>
      </w:r>
      <w:r w:rsidRPr="003E1C9E">
        <w:t>nd other linked policies</w:t>
      </w:r>
      <w:r w:rsidRPr="003E1C9E" w:rsidR="00490473">
        <w:t xml:space="preserve"> and procedures</w:t>
      </w:r>
      <w:r w:rsidRPr="003E1C9E">
        <w:t xml:space="preserve"> at least once every two years</w:t>
      </w:r>
      <w:r w:rsidRPr="003E1C9E" w:rsidR="00490473">
        <w:t xml:space="preserve">. As part of Board approval, Trustees </w:t>
      </w:r>
      <w:r w:rsidRPr="003E1C9E" w:rsidR="00C766F0">
        <w:t xml:space="preserve">will </w:t>
      </w:r>
      <w:r w:rsidRPr="003E1C9E" w:rsidR="00490473">
        <w:t xml:space="preserve">ensure that MRF complies with the standards adapted from the International Standards for Child Safeguarding developed by Keeping Children Safe found </w:t>
      </w:r>
      <w:r w:rsidRPr="003E1C9E" w:rsidR="00082A8E">
        <w:t xml:space="preserve">in </w:t>
      </w:r>
      <w:r w:rsidR="00C418FA">
        <w:t xml:space="preserve">Appendix B- Standards </w:t>
      </w:r>
    </w:p>
    <w:p w:rsidRPr="003E1C9E" w:rsidR="00C6565F" w:rsidP="003E1C9E" w:rsidRDefault="00C6565F" w14:paraId="3FBEE58E" w14:textId="42B879C3">
      <w:pPr>
        <w:pStyle w:val="Bulletmike0"/>
      </w:pPr>
      <w:r w:rsidRPr="003E1C9E">
        <w:t xml:space="preserve">A progress report on safeguarding </w:t>
      </w:r>
      <w:r w:rsidRPr="003E1C9E" w:rsidR="00C766F0">
        <w:t xml:space="preserve">will </w:t>
      </w:r>
      <w:r w:rsidRPr="003E1C9E">
        <w:t xml:space="preserve">be presented to the Board of Trustees via the </w:t>
      </w:r>
      <w:r w:rsidR="00156F34">
        <w:t>Risk and Compliance Sub-</w:t>
      </w:r>
      <w:r w:rsidRPr="003E1C9E">
        <w:t xml:space="preserve">Committee at least once each </w:t>
      </w:r>
      <w:proofErr w:type="gramStart"/>
      <w:r w:rsidRPr="003E1C9E">
        <w:t>year</w:t>
      </w:r>
      <w:proofErr w:type="gramEnd"/>
    </w:p>
    <w:p w:rsidRPr="003E1C9E" w:rsidR="00C6565F" w:rsidP="003E1C9E" w:rsidRDefault="00C6565F" w14:paraId="197961A3" w14:textId="51BB2A35">
      <w:pPr>
        <w:pStyle w:val="Bulletmike0"/>
      </w:pPr>
      <w:r w:rsidRPr="003E1C9E">
        <w:t xml:space="preserve">Safeguarding </w:t>
      </w:r>
      <w:r w:rsidRPr="003E1C9E" w:rsidR="00C766F0">
        <w:t xml:space="preserve">will </w:t>
      </w:r>
      <w:r w:rsidRPr="003E1C9E">
        <w:t xml:space="preserve">be incorporated </w:t>
      </w:r>
      <w:r w:rsidRPr="00453DA3">
        <w:t xml:space="preserve">into the </w:t>
      </w:r>
      <w:hyperlink w:history="1" r:id="rId13">
        <w:r w:rsidRPr="00E26393" w:rsidR="00E26393">
          <w:rPr>
            <w:rStyle w:val="Hyperlink"/>
          </w:rPr>
          <w:t xml:space="preserve"> MRF-risk-register</w:t>
        </w:r>
      </w:hyperlink>
      <w:r w:rsidR="00E26393">
        <w:t xml:space="preserve"> </w:t>
      </w:r>
    </w:p>
    <w:p w:rsidRPr="003E1C9E" w:rsidR="00C6565F" w:rsidP="003E1C9E" w:rsidRDefault="00C6565F" w14:paraId="60A37704" w14:textId="76837686">
      <w:pPr>
        <w:pStyle w:val="Bulletmike0"/>
      </w:pPr>
      <w:r w:rsidRPr="003E1C9E">
        <w:t xml:space="preserve">Safeguarding items </w:t>
      </w:r>
      <w:r w:rsidRPr="003E1C9E" w:rsidR="00C766F0">
        <w:t xml:space="preserve">will </w:t>
      </w:r>
      <w:r w:rsidRPr="003E1C9E">
        <w:t xml:space="preserve">be scheduled for discussion in Senior Management Team meetings at least once every three </w:t>
      </w:r>
      <w:r w:rsidRPr="003E1C9E" w:rsidR="00E26393">
        <w:t>months.</w:t>
      </w:r>
    </w:p>
    <w:p w:rsidRPr="003E1C9E" w:rsidR="00C6565F" w:rsidP="003E1C9E" w:rsidRDefault="00C6565F" w14:paraId="7A19B542" w14:textId="5BED0731">
      <w:pPr>
        <w:pStyle w:val="Bulletmike0"/>
      </w:pPr>
      <w:r w:rsidRPr="003E1C9E">
        <w:t xml:space="preserve">Any financial costs related to safeguarding </w:t>
      </w:r>
      <w:r w:rsidRPr="003E1C9E" w:rsidR="00C766F0">
        <w:t xml:space="preserve">will </w:t>
      </w:r>
      <w:r w:rsidRPr="003E1C9E">
        <w:t>be included in annual budgets</w:t>
      </w:r>
      <w:r w:rsidR="00295F1C">
        <w:t>.</w:t>
      </w:r>
    </w:p>
    <w:p w:rsidR="00C6565F" w:rsidP="00C6565F" w:rsidRDefault="00C6565F" w14:paraId="474B98E4" w14:textId="77777777">
      <w:pPr>
        <w:pStyle w:val="Bulletmike0"/>
        <w:numPr>
          <w:ilvl w:val="0"/>
          <w:numId w:val="0"/>
        </w:numPr>
        <w:ind w:left="360"/>
      </w:pPr>
    </w:p>
    <w:p w:rsidRPr="005B29EB" w:rsidR="00C6565F" w:rsidP="00C6565F" w:rsidRDefault="00C6565F" w14:paraId="1BCB0226" w14:textId="77777777">
      <w:pPr>
        <w:pStyle w:val="Heading2"/>
        <w:rPr>
          <w:b/>
          <w:color w:val="582C83"/>
          <w:sz w:val="22"/>
          <w:szCs w:val="28"/>
        </w:rPr>
      </w:pPr>
      <w:r w:rsidRPr="005B29EB">
        <w:rPr>
          <w:b/>
          <w:color w:val="582C83"/>
          <w:sz w:val="22"/>
          <w:szCs w:val="28"/>
        </w:rPr>
        <w:t>Designating key staff</w:t>
      </w:r>
    </w:p>
    <w:p w:rsidRPr="003E1C9E" w:rsidR="00C6565F" w:rsidP="003E1C9E" w:rsidRDefault="00C6565F" w14:paraId="561E2DE4" w14:textId="0613415A">
      <w:pPr>
        <w:pStyle w:val="Bulletmike0"/>
      </w:pPr>
      <w:r w:rsidRPr="003E1C9E">
        <w:t xml:space="preserve">The Safeguarding Officer is responsible for monitoring our practice in relation to this policy and for managing any incidents or activities that arise. </w:t>
      </w:r>
      <w:r w:rsidR="001D16D2">
        <w:t>F</w:t>
      </w:r>
      <w:r w:rsidRPr="003E1C9E">
        <w:t xml:space="preserve">ormal reports can be </w:t>
      </w:r>
      <w:proofErr w:type="gramStart"/>
      <w:r w:rsidRPr="003E1C9E">
        <w:t>lodged</w:t>
      </w:r>
      <w:proofErr w:type="gramEnd"/>
      <w:r w:rsidRPr="003E1C9E">
        <w:t xml:space="preserve"> </w:t>
      </w:r>
      <w:r w:rsidR="001D16D2">
        <w:t>and</w:t>
      </w:r>
      <w:r w:rsidRPr="003E1C9E">
        <w:t xml:space="preserve"> safeguarding concerns can be discussed</w:t>
      </w:r>
      <w:r w:rsidR="001D16D2">
        <w:t xml:space="preserve"> with the Safeguarding Officer</w:t>
      </w:r>
      <w:r w:rsidRPr="003E1C9E">
        <w:t xml:space="preserve">. The current designated Safeguarding Officer </w:t>
      </w:r>
      <w:r w:rsidR="001D16D2">
        <w:t>is:</w:t>
      </w:r>
    </w:p>
    <w:p w:rsidRPr="00BB6272" w:rsidR="00C6565F" w:rsidP="00C6565F" w:rsidRDefault="00C6565F" w14:paraId="5ED3659C" w14:textId="77777777">
      <w:pPr>
        <w:pStyle w:val="Bulletmike0"/>
        <w:numPr>
          <w:ilvl w:val="0"/>
          <w:numId w:val="0"/>
        </w:numPr>
        <w:ind w:left="360"/>
        <w:rPr>
          <w:noProof/>
          <w:highlight w:val="yellow"/>
        </w:rPr>
      </w:pPr>
    </w:p>
    <w:tbl>
      <w:tblPr>
        <w:tblStyle w:val="TableGrid"/>
        <w:tblW w:w="8416" w:type="dxa"/>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1"/>
        <w:gridCol w:w="7455"/>
      </w:tblGrid>
      <w:tr w:rsidRPr="00472C79" w:rsidR="001D16D2" w:rsidTr="0CDA8751" w14:paraId="3A226467" w14:textId="77777777">
        <w:tc>
          <w:tcPr>
            <w:tcW w:w="961" w:type="dxa"/>
            <w:tcMar/>
          </w:tcPr>
          <w:p w:rsidRPr="00472C79" w:rsidR="001D16D2" w:rsidP="009B5828" w:rsidRDefault="001D16D2" w14:paraId="2418321B" w14:textId="77777777">
            <w:pPr>
              <w:spacing w:before="0" w:line="276" w:lineRule="auto"/>
              <w:rPr>
                <w:b/>
                <w:noProof/>
                <w:lang w:val="en-GB"/>
              </w:rPr>
            </w:pPr>
            <w:r w:rsidRPr="00472C79">
              <w:rPr>
                <w:b/>
                <w:noProof/>
                <w:lang w:val="en-GB"/>
              </w:rPr>
              <w:t>Contact</w:t>
            </w:r>
          </w:p>
        </w:tc>
        <w:tc>
          <w:tcPr>
            <w:tcW w:w="7455" w:type="dxa"/>
            <w:tcMar/>
          </w:tcPr>
          <w:p w:rsidRPr="00472C79" w:rsidR="001D16D2" w:rsidP="009B5828" w:rsidRDefault="00156F34" w14:paraId="4F46EFA7" w14:textId="554237A6">
            <w:pPr>
              <w:spacing w:before="0" w:line="276" w:lineRule="auto"/>
              <w:rPr>
                <w:noProof/>
                <w:lang w:val="en-GB"/>
              </w:rPr>
            </w:pPr>
            <w:r w:rsidRPr="0CDA8751" w:rsidR="00156F34">
              <w:rPr>
                <w:noProof/>
                <w:lang w:val="en-GB"/>
              </w:rPr>
              <w:t>Ca</w:t>
            </w:r>
            <w:r w:rsidRPr="0CDA8751" w:rsidR="0489978D">
              <w:rPr>
                <w:noProof/>
                <w:lang w:val="en-GB"/>
              </w:rPr>
              <w:t>roline Hughes</w:t>
            </w:r>
          </w:p>
        </w:tc>
      </w:tr>
      <w:tr w:rsidRPr="00472C79" w:rsidR="001D16D2" w:rsidTr="0CDA8751" w14:paraId="7CAD2C25" w14:textId="77777777">
        <w:tc>
          <w:tcPr>
            <w:tcW w:w="961" w:type="dxa"/>
            <w:tcMar/>
          </w:tcPr>
          <w:p w:rsidRPr="00472C79" w:rsidR="001D16D2" w:rsidP="009B5828" w:rsidRDefault="001D16D2" w14:paraId="5472946A" w14:textId="77777777">
            <w:pPr>
              <w:spacing w:before="0" w:line="276" w:lineRule="auto"/>
              <w:rPr>
                <w:b/>
                <w:noProof/>
                <w:lang w:val="en-GB"/>
              </w:rPr>
            </w:pPr>
            <w:r w:rsidRPr="00472C79">
              <w:rPr>
                <w:b/>
                <w:noProof/>
                <w:lang w:val="en-GB"/>
              </w:rPr>
              <w:t>Email</w:t>
            </w:r>
          </w:p>
        </w:tc>
        <w:tc>
          <w:tcPr>
            <w:tcW w:w="7455" w:type="dxa"/>
            <w:tcMar/>
          </w:tcPr>
          <w:p w:rsidRPr="00472C79" w:rsidR="001D16D2" w:rsidP="00156F34" w:rsidRDefault="00000000" w14:paraId="4AB48DE9" w14:textId="3986704C">
            <w:pPr>
              <w:spacing w:before="0" w:line="276" w:lineRule="auto"/>
              <w:rPr>
                <w:noProof/>
                <w:lang w:val="en-GB"/>
              </w:rPr>
            </w:pPr>
            <w:hyperlink r:id="Rc7af03136b3e43ec">
              <w:r w:rsidRPr="0CDA8751" w:rsidR="00156F34">
                <w:rPr>
                  <w:rStyle w:val="Hyperlink"/>
                  <w:noProof/>
                  <w:lang w:val="en-GB"/>
                </w:rPr>
                <w:t>Ca</w:t>
              </w:r>
              <w:r w:rsidRPr="0CDA8751" w:rsidR="4392D931">
                <w:rPr>
                  <w:rStyle w:val="Hyperlink"/>
                  <w:noProof/>
                  <w:lang w:val="en-GB"/>
                </w:rPr>
                <w:t>rolineh</w:t>
              </w:r>
              <w:r w:rsidRPr="0CDA8751" w:rsidR="00156F34">
                <w:rPr>
                  <w:rStyle w:val="Hyperlink"/>
                  <w:noProof/>
                  <w:lang w:val="en-GB"/>
                </w:rPr>
                <w:t>@meningitis.org</w:t>
              </w:r>
            </w:hyperlink>
            <w:r w:rsidRPr="0CDA8751" w:rsidR="001D16D2">
              <w:rPr>
                <w:noProof/>
                <w:lang w:val="en-GB"/>
              </w:rPr>
              <w:t xml:space="preserve"> </w:t>
            </w:r>
          </w:p>
        </w:tc>
      </w:tr>
      <w:tr w:rsidRPr="00472C79" w:rsidR="001D16D2" w:rsidTr="0CDA8751" w14:paraId="68472FD2" w14:textId="77777777">
        <w:tc>
          <w:tcPr>
            <w:tcW w:w="961" w:type="dxa"/>
            <w:tcMar/>
          </w:tcPr>
          <w:p w:rsidRPr="00472C79" w:rsidR="001D16D2" w:rsidP="009B5828" w:rsidRDefault="001D16D2" w14:paraId="1A837178" w14:textId="77777777">
            <w:pPr>
              <w:spacing w:before="0" w:line="276" w:lineRule="auto"/>
              <w:rPr>
                <w:b/>
                <w:noProof/>
                <w:lang w:val="en-GB"/>
              </w:rPr>
            </w:pPr>
            <w:r w:rsidRPr="00472C79">
              <w:rPr>
                <w:b/>
                <w:noProof/>
                <w:lang w:val="en-GB"/>
              </w:rPr>
              <w:t>Tel</w:t>
            </w:r>
          </w:p>
        </w:tc>
        <w:tc>
          <w:tcPr>
            <w:tcW w:w="7455" w:type="dxa"/>
            <w:tcMar/>
          </w:tcPr>
          <w:p w:rsidRPr="00472C79" w:rsidR="001D16D2" w:rsidP="0CDA8751" w:rsidRDefault="00E26393" w14:paraId="3FA4BCF8" w14:textId="2F8992D2">
            <w:pPr>
              <w:pStyle w:val="Normal"/>
              <w:spacing w:before="0" w:line="276" w:lineRule="auto"/>
              <w:rPr>
                <w:rFonts w:ascii="Arial" w:hAnsi="Arial" w:eastAsia="Arial" w:cs="Arial"/>
                <w:noProof/>
                <w:sz w:val="20"/>
                <w:szCs w:val="20"/>
                <w:lang w:val="en-GB"/>
              </w:rPr>
            </w:pPr>
            <w:r w:rsidRPr="0CDA8751" w:rsidR="6732C078">
              <w:rPr>
                <w:rFonts w:ascii="Aptos" w:hAnsi="Aptos" w:eastAsia="Aptos" w:cs="Aptos"/>
                <w:noProof/>
                <w:sz w:val="24"/>
                <w:szCs w:val="24"/>
                <w:lang w:val="en-GB"/>
              </w:rPr>
              <w:t>0333 405 6267</w:t>
            </w:r>
          </w:p>
        </w:tc>
      </w:tr>
    </w:tbl>
    <w:p w:rsidR="00D674DF" w:rsidP="0021693D" w:rsidRDefault="00D674DF" w14:paraId="2C19C35C" w14:textId="77777777">
      <w:pPr>
        <w:pStyle w:val="BulletMike"/>
        <w:numPr>
          <w:ilvl w:val="0"/>
          <w:numId w:val="0"/>
        </w:numPr>
        <w:rPr>
          <w:noProof/>
          <w:lang w:val="en-GB"/>
        </w:rPr>
      </w:pPr>
    </w:p>
    <w:p w:rsidRPr="00D674DF" w:rsidR="006B3DC6" w:rsidP="00D674DF" w:rsidRDefault="00C6565F" w14:paraId="6A24D489" w14:textId="3CE8E056">
      <w:pPr>
        <w:pStyle w:val="Bulletmike0"/>
      </w:pPr>
      <w:r w:rsidRPr="00D674DF">
        <w:t xml:space="preserve">The Safeguarding Officer reports directly to the Chief Executive on safeguarding issues, who is accountable to </w:t>
      </w:r>
      <w:r w:rsidRPr="00D674DF" w:rsidR="00C766F0">
        <w:t xml:space="preserve">the </w:t>
      </w:r>
      <w:r w:rsidRPr="00D674DF">
        <w:t>Board of Trustees</w:t>
      </w:r>
    </w:p>
    <w:p w:rsidRPr="00D674DF" w:rsidR="00C6565F" w:rsidP="00D674DF" w:rsidRDefault="00C6565F" w14:paraId="153106F3" w14:textId="133D6E7A">
      <w:pPr>
        <w:pStyle w:val="Bulletmike0"/>
      </w:pPr>
      <w:r w:rsidRPr="00D674DF">
        <w:t xml:space="preserve">The Trustees of MRF have overall responsibility for safeguarding. A Trustee will be nominated as safeguarding Trustee for the Board, who is responsible for any safeguarding issues relating to the </w:t>
      </w:r>
      <w:r w:rsidRPr="00D674DF">
        <w:lastRenderedPageBreak/>
        <w:t xml:space="preserve">Board itself and any necessary reporting of investigations and incidents to the appropriate authorities. </w:t>
      </w:r>
      <w:r w:rsidRPr="00385BE4">
        <w:rPr>
          <w:b/>
        </w:rPr>
        <w:t xml:space="preserve">The current nominated Trustee </w:t>
      </w:r>
      <w:proofErr w:type="gramStart"/>
      <w:r w:rsidRPr="00385BE4">
        <w:rPr>
          <w:b/>
        </w:rPr>
        <w:t>is:</w:t>
      </w:r>
      <w:proofErr w:type="gramEnd"/>
      <w:r w:rsidRPr="00385BE4">
        <w:rPr>
          <w:b/>
        </w:rPr>
        <w:t xml:space="preserve"> </w:t>
      </w:r>
      <w:r w:rsidR="00E962CB">
        <w:rPr>
          <w:b/>
        </w:rPr>
        <w:t>Sarah Jeffery</w:t>
      </w:r>
      <w:r w:rsidR="006851C9">
        <w:rPr>
          <w:b/>
        </w:rPr>
        <w:t>.</w:t>
      </w:r>
    </w:p>
    <w:p w:rsidRPr="00D674DF" w:rsidR="00C6565F" w:rsidP="00D674DF" w:rsidRDefault="00755170" w14:paraId="14E44756" w14:textId="28816427">
      <w:pPr>
        <w:pStyle w:val="Bulletmike0"/>
      </w:pPr>
      <w:r w:rsidRPr="00D674DF">
        <w:t>S</w:t>
      </w:r>
      <w:r w:rsidRPr="00D674DF" w:rsidR="00C6565F">
        <w:t>afeguarding concerns can</w:t>
      </w:r>
      <w:r w:rsidRPr="00D674DF">
        <w:t xml:space="preserve"> be</w:t>
      </w:r>
      <w:r w:rsidRPr="00D674DF" w:rsidR="00C6565F">
        <w:t xml:space="preserve"> report</w:t>
      </w:r>
      <w:r w:rsidRPr="00D674DF">
        <w:t xml:space="preserve">ed </w:t>
      </w:r>
      <w:r w:rsidRPr="00D674DF" w:rsidR="00C6565F">
        <w:t xml:space="preserve">by following the </w:t>
      </w:r>
      <w:hyperlink w:history="1" r:id="rId15">
        <w:r w:rsidRPr="00595A42" w:rsidR="00360E31">
          <w:rPr>
            <w:rStyle w:val="Hyperlink"/>
          </w:rPr>
          <w:t xml:space="preserve"> Safeguarding Procedures</w:t>
        </w:r>
      </w:hyperlink>
    </w:p>
    <w:p w:rsidR="00C6565F" w:rsidP="00C6565F" w:rsidRDefault="00C6565F" w14:paraId="5724046F" w14:textId="77777777">
      <w:pPr>
        <w:pStyle w:val="Bulletmike0"/>
        <w:numPr>
          <w:ilvl w:val="0"/>
          <w:numId w:val="0"/>
        </w:numPr>
      </w:pPr>
    </w:p>
    <w:p w:rsidRPr="005B29EB" w:rsidR="00C6565F" w:rsidP="00C6565F" w:rsidRDefault="00C6565F" w14:paraId="3A353CAB" w14:textId="77777777">
      <w:pPr>
        <w:pStyle w:val="Heading2"/>
        <w:rPr>
          <w:b/>
          <w:color w:val="582C83"/>
          <w:sz w:val="22"/>
          <w:szCs w:val="28"/>
        </w:rPr>
      </w:pPr>
      <w:r w:rsidRPr="005B29EB">
        <w:rPr>
          <w:b/>
          <w:color w:val="582C83"/>
          <w:sz w:val="22"/>
          <w:szCs w:val="28"/>
        </w:rPr>
        <w:t>Recruitment and selection</w:t>
      </w:r>
    </w:p>
    <w:p w:rsidRPr="00D674DF" w:rsidR="00C6565F" w:rsidP="00D674DF" w:rsidRDefault="00C6565F" w14:paraId="27653DCB" w14:textId="72F8A33D">
      <w:pPr>
        <w:pStyle w:val="Bulletmike0"/>
      </w:pPr>
      <w:r w:rsidRPr="00D674DF">
        <w:t xml:space="preserve">Safeguarding </w:t>
      </w:r>
      <w:r w:rsidRPr="00D674DF" w:rsidR="00C766F0">
        <w:t xml:space="preserve">will </w:t>
      </w:r>
      <w:r w:rsidRPr="00D674DF">
        <w:t xml:space="preserve">be referenced in all our recruitment advertisements and safeguarding responsibilities should be included in all job </w:t>
      </w:r>
      <w:proofErr w:type="gramStart"/>
      <w:r w:rsidRPr="00D674DF">
        <w:t>descriptions</w:t>
      </w:r>
      <w:proofErr w:type="gramEnd"/>
    </w:p>
    <w:p w:rsidRPr="00D674DF" w:rsidR="00C6565F" w:rsidP="00D674DF" w:rsidRDefault="008B68D9" w14:paraId="72006E22" w14:textId="2D978FBB">
      <w:pPr>
        <w:pStyle w:val="Bulletmike0"/>
      </w:pPr>
      <w:r w:rsidRPr="00D674DF">
        <w:t xml:space="preserve">Reference requests from a previous employer and a character reference </w:t>
      </w:r>
      <w:r w:rsidRPr="00D674DF" w:rsidR="00C6565F">
        <w:t xml:space="preserve">will be undertaken for all staff and </w:t>
      </w:r>
      <w:r w:rsidRPr="00D674DF">
        <w:t>office</w:t>
      </w:r>
      <w:r w:rsidR="00385BE4">
        <w:t>-</w:t>
      </w:r>
      <w:r w:rsidRPr="00D674DF">
        <w:t xml:space="preserve">based </w:t>
      </w:r>
      <w:proofErr w:type="gramStart"/>
      <w:r w:rsidRPr="00D674DF" w:rsidR="00C6565F">
        <w:t>volunteers</w:t>
      </w:r>
      <w:proofErr w:type="gramEnd"/>
    </w:p>
    <w:p w:rsidRPr="00D674DF" w:rsidR="00C6565F" w:rsidP="00D674DF" w:rsidRDefault="00C6565F" w14:paraId="158E02F1" w14:textId="72798730">
      <w:pPr>
        <w:pStyle w:val="Bulletmike0"/>
      </w:pPr>
      <w:r w:rsidRPr="00D674DF">
        <w:t xml:space="preserve">Any staff planning to recruit or work with </w:t>
      </w:r>
      <w:r w:rsidR="00385BE4">
        <w:t>office-</w:t>
      </w:r>
      <w:r w:rsidR="00D674DF">
        <w:t xml:space="preserve">based </w:t>
      </w:r>
      <w:r w:rsidRPr="00D674DF">
        <w:t xml:space="preserve">volunteers should inform HR in advance of doing so and ensure that new volunteers read the Safeguarding and associated policies as well as signing the </w:t>
      </w:r>
      <w:hyperlink w:history="1" r:id="rId16">
        <w:r w:rsidRPr="00EB7060" w:rsidR="001D4137">
          <w:rPr>
            <w:rStyle w:val="Hyperlink"/>
          </w:rPr>
          <w:t>Volunteer Policy</w:t>
        </w:r>
      </w:hyperlink>
      <w:r w:rsidR="001D4137">
        <w:t xml:space="preserve"> </w:t>
      </w:r>
      <w:r w:rsidRPr="003E73F5">
        <w:t xml:space="preserve">and </w:t>
      </w:r>
      <w:r w:rsidRPr="00D674DF">
        <w:t>the</w:t>
      </w:r>
      <w:r w:rsidRPr="00F97E3A">
        <w:t xml:space="preserve"> </w:t>
      </w:r>
      <w:hyperlink w:history="1" r:id="rId17">
        <w:r w:rsidRPr="00B4340D" w:rsidR="00304A8E">
          <w:rPr>
            <w:rStyle w:val="Hyperlink"/>
          </w:rPr>
          <w:t>Code of Conduct</w:t>
        </w:r>
      </w:hyperlink>
    </w:p>
    <w:p w:rsidRPr="00D674DF" w:rsidR="00C6565F" w:rsidP="00B83EE6" w:rsidRDefault="00CE53B0" w14:paraId="0413A34F" w14:textId="3A47D358">
      <w:pPr>
        <w:pStyle w:val="Bulletmike0"/>
      </w:pPr>
      <w:r>
        <w:t xml:space="preserve">All Trustees and </w:t>
      </w:r>
      <w:r w:rsidRPr="00D674DF" w:rsidR="00C6565F">
        <w:t xml:space="preserve">Staff who have </w:t>
      </w:r>
      <w:r w:rsidRPr="00D674DF" w:rsidR="008B68D9">
        <w:t xml:space="preserve">regular </w:t>
      </w:r>
      <w:r w:rsidRPr="00D674DF" w:rsidR="00C6565F">
        <w:t xml:space="preserve">contact with children or vulnerable adults must undergo </w:t>
      </w:r>
      <w:r w:rsidRPr="00D674DF" w:rsidR="008B68D9">
        <w:t xml:space="preserve">enhanced checks relevant in their region. Screening </w:t>
      </w:r>
      <w:r w:rsidR="00385BE4">
        <w:t>will be via</w:t>
      </w:r>
      <w:r w:rsidRPr="00D674DF" w:rsidR="008B68D9">
        <w:t xml:space="preserve"> the Disclosure and Barring Service </w:t>
      </w:r>
      <w:r w:rsidRPr="00B83EE6" w:rsidR="00B83EE6">
        <w:t>(England &amp; Wales) Access NI (Northern Ireland),</w:t>
      </w:r>
      <w:r w:rsidR="00B83EE6">
        <w:t xml:space="preserve"> </w:t>
      </w:r>
      <w:r w:rsidRPr="00D674DF" w:rsidR="008B68D9">
        <w:t xml:space="preserve">Garda Vetting (Ireland) </w:t>
      </w:r>
      <w:r w:rsidR="00385BE4">
        <w:t xml:space="preserve">or </w:t>
      </w:r>
      <w:r w:rsidRPr="0021693D" w:rsidR="0021693D">
        <w:t>Pr</w:t>
      </w:r>
      <w:r w:rsidR="00B83EE6">
        <w:t>otecting Vulnerable Groups-PVG</w:t>
      </w:r>
      <w:r w:rsidR="0021693D">
        <w:t xml:space="preserve"> </w:t>
      </w:r>
      <w:r w:rsidR="00B83EE6">
        <w:t>(</w:t>
      </w:r>
      <w:r w:rsidR="0021693D">
        <w:t>Scotland</w:t>
      </w:r>
      <w:r w:rsidR="00B83EE6">
        <w:t>)</w:t>
      </w:r>
      <w:r w:rsidR="0021693D">
        <w:t>.</w:t>
      </w:r>
    </w:p>
    <w:p w:rsidRPr="00D674DF" w:rsidR="006B3DC6" w:rsidP="00D674DF" w:rsidRDefault="006B3DC6" w14:paraId="29C85DFB" w14:textId="77777777">
      <w:pPr>
        <w:pStyle w:val="Bulletmike0"/>
        <w:numPr>
          <w:ilvl w:val="0"/>
          <w:numId w:val="0"/>
        </w:numPr>
        <w:ind w:left="360"/>
      </w:pPr>
    </w:p>
    <w:p w:rsidRPr="005B29EB" w:rsidR="00C6565F" w:rsidP="00C6565F" w:rsidRDefault="00C6565F" w14:paraId="6527E4F1" w14:textId="77777777">
      <w:pPr>
        <w:pStyle w:val="Heading2"/>
        <w:rPr>
          <w:b/>
          <w:color w:val="582C83"/>
          <w:sz w:val="22"/>
          <w:szCs w:val="28"/>
        </w:rPr>
      </w:pPr>
      <w:r w:rsidRPr="005B29EB">
        <w:rPr>
          <w:b/>
          <w:color w:val="582C83"/>
          <w:sz w:val="22"/>
          <w:szCs w:val="28"/>
        </w:rPr>
        <w:t xml:space="preserve">Code of Conduct </w:t>
      </w:r>
    </w:p>
    <w:p w:rsidRPr="00D674DF" w:rsidR="00C6565F" w:rsidP="00D674DF" w:rsidRDefault="00C6565F" w14:paraId="4686EC6F" w14:textId="0E0B07DC">
      <w:pPr>
        <w:pStyle w:val="Bulletmike0"/>
      </w:pPr>
      <w:r w:rsidRPr="00D674DF">
        <w:t xml:space="preserve">Contracted staff, </w:t>
      </w:r>
      <w:r w:rsidR="00385BE4">
        <w:t>office-</w:t>
      </w:r>
      <w:r w:rsidRPr="00D674DF" w:rsidR="008B68D9">
        <w:t xml:space="preserve">based </w:t>
      </w:r>
      <w:r w:rsidRPr="00D674DF">
        <w:t xml:space="preserve">volunteers, </w:t>
      </w:r>
      <w:proofErr w:type="gramStart"/>
      <w:r w:rsidR="003207AC">
        <w:t>t</w:t>
      </w:r>
      <w:r w:rsidRPr="00D674DF">
        <w:t>rustees</w:t>
      </w:r>
      <w:proofErr w:type="gramEnd"/>
      <w:r w:rsidRPr="00D674DF">
        <w:t xml:space="preserve"> and consultants are required to read and sign a copy of the Code of Conduct</w:t>
      </w:r>
    </w:p>
    <w:p w:rsidRPr="00D674DF" w:rsidR="00C6565F" w:rsidP="00D674DF" w:rsidRDefault="00C6565F" w14:paraId="41293F6E" w14:textId="77777777">
      <w:pPr>
        <w:pStyle w:val="Bulletmike0"/>
      </w:pPr>
      <w:r w:rsidRPr="00D674DF">
        <w:t xml:space="preserve">Efforts will be made to make other associates (suppliers/service providers and fundraisers) aware of this Safeguarding Policy and they may be requested to sign the Code of Conduct if the risk assessment deems this to be </w:t>
      </w:r>
      <w:proofErr w:type="gramStart"/>
      <w:r w:rsidRPr="00D674DF">
        <w:t>necessary</w:t>
      </w:r>
      <w:proofErr w:type="gramEnd"/>
    </w:p>
    <w:p w:rsidRPr="00D674DF" w:rsidR="00C6565F" w:rsidP="00D674DF" w:rsidRDefault="00C6565F" w14:paraId="6FACC73E" w14:textId="6F232ACB">
      <w:pPr>
        <w:pStyle w:val="Bulletmike0"/>
      </w:pPr>
      <w:r w:rsidRPr="00D674DF">
        <w:t xml:space="preserve">Reference to the Code of Conduct will be made in all relevant contracts and </w:t>
      </w:r>
      <w:proofErr w:type="gramStart"/>
      <w:r w:rsidRPr="00D674DF">
        <w:t>agreements</w:t>
      </w:r>
      <w:proofErr w:type="gramEnd"/>
    </w:p>
    <w:p w:rsidRPr="00D674DF" w:rsidR="00C6565F" w:rsidP="00D674DF" w:rsidRDefault="00C6565F" w14:paraId="52648817" w14:textId="77777777">
      <w:pPr>
        <w:pStyle w:val="Bulletmike0"/>
      </w:pPr>
      <w:r w:rsidRPr="00D674DF">
        <w:t xml:space="preserve">Breaches of the Code of Conduct or policy may lead to disciplinary action including possible dismissal. For partners/contractors, breaches can lead up to and including termination of relations including contractual and partnership agreements. Where relevant, the appropriate legal or other frameworks as per the national laws will be referred </w:t>
      </w:r>
      <w:proofErr w:type="gramStart"/>
      <w:r w:rsidRPr="00D674DF">
        <w:t>to</w:t>
      </w:r>
      <w:proofErr w:type="gramEnd"/>
    </w:p>
    <w:p w:rsidRPr="00D674DF" w:rsidR="00C6565F" w:rsidP="00D674DF" w:rsidRDefault="00C6565F" w14:paraId="75C5A9DA" w14:textId="461ADF43">
      <w:pPr>
        <w:pStyle w:val="Bulletmike0"/>
      </w:pPr>
      <w:r w:rsidRPr="00D674DF">
        <w:t xml:space="preserve">MRF will not tolerate retaliation against anyone who in good faith reports losses, illegal acts or violations of the MRF Safeguarding Policy or Code of </w:t>
      </w:r>
      <w:proofErr w:type="gramStart"/>
      <w:r w:rsidRPr="00D674DF">
        <w:t>Conduct, or</w:t>
      </w:r>
      <w:proofErr w:type="gramEnd"/>
      <w:r w:rsidRPr="00D674DF">
        <w:t xml:space="preserve"> provides any information or other assistance in an investigation</w:t>
      </w:r>
      <w:r w:rsidRPr="00D674DF" w:rsidR="008B68D9">
        <w:t xml:space="preserve">. MRF has a </w:t>
      </w:r>
      <w:hyperlink w:history="1" r:id="rId18">
        <w:r w:rsidR="005E5EB2">
          <w:rPr>
            <w:rStyle w:val="Hyperlink"/>
          </w:rPr>
          <w:t>Whistleblowing policy</w:t>
        </w:r>
      </w:hyperlink>
    </w:p>
    <w:p w:rsidR="00C6565F" w:rsidP="00D674DF" w:rsidRDefault="00C6565F" w14:paraId="3B1205AF" w14:textId="77777777">
      <w:pPr>
        <w:pStyle w:val="Bulletmike0"/>
      </w:pPr>
      <w:r w:rsidRPr="00D674DF">
        <w:t xml:space="preserve">MRF will also not tolerate deliberate false reporting of misconduct and such behaviour will be subject to disciplinary </w:t>
      </w:r>
      <w:proofErr w:type="gramStart"/>
      <w:r w:rsidRPr="00D674DF">
        <w:t>action</w:t>
      </w:r>
      <w:proofErr w:type="gramEnd"/>
    </w:p>
    <w:p w:rsidRPr="00D674DF" w:rsidR="0021693D" w:rsidP="0021693D" w:rsidRDefault="0021693D" w14:paraId="37539176" w14:textId="77777777">
      <w:pPr>
        <w:pStyle w:val="Bulletmike0"/>
        <w:numPr>
          <w:ilvl w:val="0"/>
          <w:numId w:val="0"/>
        </w:numPr>
        <w:ind w:left="360"/>
      </w:pPr>
    </w:p>
    <w:p w:rsidRPr="00C00838" w:rsidR="00C6565F" w:rsidP="00C6565F" w:rsidRDefault="00C6565F" w14:paraId="2DE39499" w14:textId="4880D48B">
      <w:pPr>
        <w:pStyle w:val="Heading2"/>
        <w:rPr>
          <w:noProof/>
          <w:lang w:val="en-GB"/>
        </w:rPr>
      </w:pPr>
      <w:r w:rsidRPr="005B29EB">
        <w:rPr>
          <w:b/>
          <w:color w:val="582C83"/>
          <w:sz w:val="22"/>
          <w:szCs w:val="28"/>
        </w:rPr>
        <w:t>Training and supervision</w:t>
      </w:r>
    </w:p>
    <w:p w:rsidRPr="00D674DF" w:rsidR="00C6565F" w:rsidP="00D674DF" w:rsidRDefault="00C6565F" w14:paraId="0EC8709A" w14:textId="37BAD72A">
      <w:pPr>
        <w:pStyle w:val="Bulletmike0"/>
      </w:pPr>
      <w:r w:rsidRPr="00D674DF">
        <w:t>MRF understands that, in order for the Safeguarding Policy to be well understood and effectively implemented, it is essential that there are high levels of awareness regarding the policy and that staff and</w:t>
      </w:r>
      <w:r w:rsidRPr="00D674DF" w:rsidR="005C23D8">
        <w:t xml:space="preserve"> others</w:t>
      </w:r>
      <w:r w:rsidRPr="00D674DF">
        <w:t xml:space="preserve"> are clear, confident and competent in putting the policy into </w:t>
      </w:r>
      <w:proofErr w:type="gramStart"/>
      <w:r w:rsidRPr="00D674DF">
        <w:t>practice</w:t>
      </w:r>
      <w:proofErr w:type="gramEnd"/>
    </w:p>
    <w:p w:rsidRPr="00D674DF" w:rsidR="006B3DC6" w:rsidP="0018334E" w:rsidRDefault="00C6565F" w14:paraId="06CA38E9" w14:textId="412C024C">
      <w:pPr>
        <w:pStyle w:val="Bulletmike0"/>
      </w:pPr>
      <w:r w:rsidRPr="00D674DF">
        <w:t>We will disseminate and promote the policy widely. Copies of the policy will be made available and accessible to all stakeholders, both in hard copy and electronically</w:t>
      </w:r>
    </w:p>
    <w:p w:rsidRPr="00D674DF" w:rsidR="001F16C9" w:rsidP="00D674DF" w:rsidRDefault="00D00FBC" w14:paraId="0F7FFBE0" w14:textId="1F13B6A6">
      <w:pPr>
        <w:pStyle w:val="Bulletmike0"/>
      </w:pPr>
      <w:r w:rsidRPr="00D674DF">
        <w:lastRenderedPageBreak/>
        <w:t xml:space="preserve">All staff </w:t>
      </w:r>
      <w:r w:rsidRPr="00D674DF" w:rsidR="005C23D8">
        <w:t xml:space="preserve">will receive initial training on the policy and procedures in addition to refresher training </w:t>
      </w:r>
      <w:r w:rsidRPr="00D674DF" w:rsidR="001F16C9">
        <w:t xml:space="preserve">as required. Further training should be provided for staff with specific safeguarding </w:t>
      </w:r>
      <w:proofErr w:type="gramStart"/>
      <w:r w:rsidRPr="00D674DF" w:rsidR="001F16C9">
        <w:t>responsibilities</w:t>
      </w:r>
      <w:proofErr w:type="gramEnd"/>
      <w:r w:rsidRPr="00D674DF" w:rsidR="001F16C9">
        <w:t xml:space="preserve"> </w:t>
      </w:r>
    </w:p>
    <w:p w:rsidRPr="00D674DF" w:rsidR="00C6565F" w:rsidP="00D674DF" w:rsidRDefault="00C6565F" w14:paraId="0A7770F7" w14:textId="77777777">
      <w:pPr>
        <w:pStyle w:val="Bulletmike0"/>
      </w:pPr>
      <w:r w:rsidRPr="00D674DF">
        <w:t xml:space="preserve">Adherence to the Code of Conduct and this policy will be reviewed during performance appraisals for </w:t>
      </w:r>
      <w:proofErr w:type="gramStart"/>
      <w:r w:rsidRPr="00D674DF">
        <w:t>staff</w:t>
      </w:r>
      <w:proofErr w:type="gramEnd"/>
    </w:p>
    <w:p w:rsidR="00453DA3" w:rsidRDefault="00C6565F" w14:paraId="738A0640" w14:textId="77777777">
      <w:pPr>
        <w:pStyle w:val="Bulletmike0"/>
      </w:pPr>
      <w:r w:rsidRPr="00D674DF">
        <w:t>Exit interview</w:t>
      </w:r>
      <w:r w:rsidRPr="00D674DF" w:rsidR="00D77B9C">
        <w:t>s</w:t>
      </w:r>
      <w:r w:rsidRPr="00D674DF">
        <w:t xml:space="preserve"> will be offered</w:t>
      </w:r>
      <w:r w:rsidRPr="00D674DF" w:rsidR="005B29EB">
        <w:t xml:space="preserve"> optionally</w:t>
      </w:r>
      <w:r w:rsidRPr="00D674DF">
        <w:t xml:space="preserve"> to leavers</w:t>
      </w:r>
      <w:r w:rsidRPr="00D674DF" w:rsidR="005B29EB">
        <w:t xml:space="preserve"> in order to offer a</w:t>
      </w:r>
      <w:r w:rsidR="00D674DF">
        <w:t xml:space="preserve">n opportunity to raise </w:t>
      </w:r>
      <w:proofErr w:type="gramStart"/>
      <w:r w:rsidR="00D674DF">
        <w:t>concerns</w:t>
      </w:r>
      <w:proofErr w:type="gramEnd"/>
    </w:p>
    <w:p w:rsidR="00453DA3" w:rsidP="00453DA3" w:rsidRDefault="00453DA3" w14:paraId="638FB010" w14:textId="77777777">
      <w:pPr>
        <w:pStyle w:val="Bulletmike0"/>
        <w:numPr>
          <w:ilvl w:val="0"/>
          <w:numId w:val="0"/>
        </w:numPr>
        <w:ind w:left="360"/>
      </w:pPr>
    </w:p>
    <w:p w:rsidRPr="00723981" w:rsidR="006B3DC6" w:rsidP="00723981" w:rsidRDefault="006B3DC6" w14:paraId="71815F7E" w14:textId="111EBEF0">
      <w:pPr>
        <w:pStyle w:val="Heading2"/>
        <w:rPr>
          <w:b/>
          <w:color w:val="582C83"/>
          <w:sz w:val="22"/>
          <w:szCs w:val="28"/>
        </w:rPr>
      </w:pPr>
      <w:r w:rsidRPr="00453DA3">
        <w:rPr>
          <w:b/>
          <w:color w:val="582C83"/>
          <w:sz w:val="22"/>
          <w:szCs w:val="28"/>
        </w:rPr>
        <w:t>Research</w:t>
      </w:r>
    </w:p>
    <w:p w:rsidRPr="00D674DF" w:rsidR="00C6565F" w:rsidP="00D674DF" w:rsidRDefault="00C6565F" w14:paraId="4912F2EB" w14:textId="34183545">
      <w:pPr>
        <w:pStyle w:val="Bulletmike0"/>
      </w:pPr>
      <w:r w:rsidRPr="00D674DF">
        <w:t>Research and other medical/health related activities must adhere to ethical guidelines</w:t>
      </w:r>
      <w:r w:rsidR="004C4472">
        <w:t>. We</w:t>
      </w:r>
      <w:r w:rsidRPr="00D674DF">
        <w:t xml:space="preserve"> </w:t>
      </w:r>
      <w:r w:rsidRPr="00D674DF" w:rsidR="00C766F0">
        <w:t xml:space="preserve">will </w:t>
      </w:r>
      <w:r w:rsidRPr="00D674DF">
        <w:t>ensure that ethics approval and/or other regulatory permissions are in place before undertaking any interventions that impact on the public, whether directly or indirectly</w:t>
      </w:r>
      <w:r w:rsidR="004C4472">
        <w:t>,</w:t>
      </w:r>
      <w:r w:rsidRPr="00D674DF">
        <w:t xml:space="preserve"> through our funding activities</w:t>
      </w:r>
    </w:p>
    <w:p w:rsidRPr="00D674DF" w:rsidR="006B3DC6" w:rsidP="00D674DF" w:rsidRDefault="006B3DC6" w14:paraId="2F7181C7" w14:textId="082F1E4E">
      <w:pPr>
        <w:pStyle w:val="Bulletmike0"/>
      </w:pPr>
      <w:r w:rsidRPr="00D674DF">
        <w:t>Safeguarding approaches will be incorporated into all aspects of our research, through our research grant Terms and Conditions</w:t>
      </w:r>
    </w:p>
    <w:p w:rsidRPr="007A1D9F" w:rsidR="00C6565F" w:rsidP="00C6565F" w:rsidRDefault="00C6565F" w14:paraId="076D45DF" w14:textId="77777777">
      <w:pPr>
        <w:pStyle w:val="Bulletmike0"/>
        <w:numPr>
          <w:ilvl w:val="0"/>
          <w:numId w:val="0"/>
        </w:numPr>
        <w:tabs>
          <w:tab w:val="clear" w:pos="1134"/>
          <w:tab w:val="left" w:pos="426"/>
        </w:tabs>
        <w:ind w:left="426"/>
        <w:rPr>
          <w:noProof/>
        </w:rPr>
      </w:pPr>
    </w:p>
    <w:p w:rsidRPr="005B29EB" w:rsidR="00C6565F" w:rsidP="00C6565F" w:rsidRDefault="00C6565F" w14:paraId="061E39D5" w14:textId="77777777">
      <w:pPr>
        <w:pStyle w:val="Heading2"/>
        <w:rPr>
          <w:b/>
          <w:color w:val="582C83"/>
          <w:sz w:val="22"/>
          <w:szCs w:val="28"/>
        </w:rPr>
      </w:pPr>
      <w:r w:rsidRPr="005B29EB">
        <w:rPr>
          <w:b/>
          <w:color w:val="582C83"/>
          <w:sz w:val="22"/>
          <w:szCs w:val="28"/>
        </w:rPr>
        <w:t>Events, project visits and communications</w:t>
      </w:r>
    </w:p>
    <w:p w:rsidRPr="00D674DF" w:rsidR="00C6565F" w:rsidP="00D674DF" w:rsidRDefault="00C6565F" w14:paraId="509D4E3C" w14:textId="77777777">
      <w:pPr>
        <w:pStyle w:val="Bulletmike0"/>
      </w:pPr>
      <w:r w:rsidRPr="00D674DF">
        <w:t xml:space="preserve">Risk assessments that include safeguarding considerations should be undertaken for all events and </w:t>
      </w:r>
      <w:proofErr w:type="gramStart"/>
      <w:r w:rsidRPr="00D674DF">
        <w:t>projects</w:t>
      </w:r>
      <w:proofErr w:type="gramEnd"/>
      <w:r w:rsidRPr="00D674DF">
        <w:t xml:space="preserve"> </w:t>
      </w:r>
    </w:p>
    <w:p w:rsidRPr="00D674DF" w:rsidR="005C23D8" w:rsidP="00D674DF" w:rsidRDefault="005C23D8" w14:paraId="1E07A8BA" w14:textId="12BCE09E">
      <w:pPr>
        <w:pStyle w:val="Bulletmike0"/>
      </w:pPr>
      <w:r w:rsidRPr="00D674DF">
        <w:t>Staff and volunteers working with children or vulnerable adults at events or during project visits should be fully briefed beforehand of our Safeguarding Policy and Procedures</w:t>
      </w:r>
    </w:p>
    <w:p w:rsidRPr="00D674DF" w:rsidR="00C6565F" w:rsidP="00D674DF" w:rsidRDefault="00C6565F" w14:paraId="3DCF33EE" w14:textId="258FD838">
      <w:pPr>
        <w:pStyle w:val="Bulletmike0"/>
      </w:pPr>
      <w:r w:rsidRPr="002D509D">
        <w:t xml:space="preserve">Our current Data Protection Policies should be adhered to </w:t>
      </w:r>
      <w:proofErr w:type="gramStart"/>
      <w:r w:rsidRPr="002D509D">
        <w:t>in order to</w:t>
      </w:r>
      <w:proofErr w:type="gramEnd"/>
      <w:r w:rsidRPr="002D509D">
        <w:t xml:space="preserve"> obtain informed consent</w:t>
      </w:r>
      <w:r w:rsidR="004C4472">
        <w:t>, in advance,</w:t>
      </w:r>
      <w:r w:rsidRPr="002D509D">
        <w:t xml:space="preserve"> for photographs or video images. These</w:t>
      </w:r>
      <w:r w:rsidRPr="00D674DF" w:rsidR="00C766F0">
        <w:t xml:space="preserve"> will</w:t>
      </w:r>
      <w:r w:rsidRPr="00D674DF">
        <w:t xml:space="preserve"> provide guidance to staff and volunteers on how to apply consent processes and ensure that images respect human dignity </w:t>
      </w:r>
      <w:r w:rsidR="00DA7C64">
        <w:t>and the rights, safety and well</w:t>
      </w:r>
      <w:r w:rsidRPr="00D674DF">
        <w:t xml:space="preserve">being of the person or people being </w:t>
      </w:r>
      <w:proofErr w:type="gramStart"/>
      <w:r w:rsidRPr="00D674DF">
        <w:t>portrayed</w:t>
      </w:r>
      <w:proofErr w:type="gramEnd"/>
    </w:p>
    <w:p w:rsidRPr="00D674DF" w:rsidR="00C6565F" w:rsidP="00D674DF" w:rsidRDefault="00C6565F" w14:paraId="51080D06" w14:textId="7E30A64A">
      <w:pPr>
        <w:pStyle w:val="Bulletmike0"/>
      </w:pPr>
      <w:r w:rsidRPr="00D674DF">
        <w:t xml:space="preserve">This Safeguarding Policy will be published on the MRF website and people undertaking fundraising on our behalf </w:t>
      </w:r>
      <w:r w:rsidRPr="00D674DF" w:rsidR="00E524C2">
        <w:t xml:space="preserve">(where MRF is aware of this prior to the event) </w:t>
      </w:r>
      <w:r w:rsidRPr="00D674DF">
        <w:t xml:space="preserve">will be signposted to this and made aware of our expectations of </w:t>
      </w:r>
      <w:proofErr w:type="gramStart"/>
      <w:r w:rsidRPr="00D674DF">
        <w:t>them</w:t>
      </w:r>
      <w:proofErr w:type="gramEnd"/>
    </w:p>
    <w:p w:rsidRPr="003F1539" w:rsidR="00C6565F" w:rsidP="00C6565F" w:rsidRDefault="00C6565F" w14:paraId="3CE877AC" w14:textId="77777777">
      <w:pPr>
        <w:pStyle w:val="Bulletmike0"/>
        <w:numPr>
          <w:ilvl w:val="0"/>
          <w:numId w:val="0"/>
        </w:numPr>
        <w:ind w:left="360"/>
        <w:rPr>
          <w:noProof/>
        </w:rPr>
      </w:pPr>
    </w:p>
    <w:p w:rsidRPr="005B29EB" w:rsidR="00C6565F" w:rsidP="00C6565F" w:rsidRDefault="00C6565F" w14:paraId="3D43C8D1" w14:textId="77777777">
      <w:pPr>
        <w:pStyle w:val="Heading2"/>
        <w:rPr>
          <w:b/>
          <w:color w:val="582C83"/>
          <w:sz w:val="22"/>
          <w:szCs w:val="28"/>
        </w:rPr>
      </w:pPr>
      <w:r w:rsidRPr="005B29EB">
        <w:rPr>
          <w:b/>
          <w:color w:val="582C83"/>
          <w:sz w:val="22"/>
          <w:szCs w:val="28"/>
        </w:rPr>
        <w:t>Partnership</w:t>
      </w:r>
    </w:p>
    <w:p w:rsidRPr="00AF4EE8" w:rsidR="00AF4EE8" w:rsidP="0021693D" w:rsidRDefault="00C6565F" w14:paraId="05622E53" w14:textId="7A312514">
      <w:pPr>
        <w:pStyle w:val="Bulletmike0"/>
      </w:pPr>
      <w:r w:rsidRPr="00AF4EE8">
        <w:t xml:space="preserve">This policy will be distributed to partners and any other relevant parties to ensure that the commitments, principles and practices are publicised and </w:t>
      </w:r>
      <w:proofErr w:type="gramStart"/>
      <w:r w:rsidRPr="00AF4EE8">
        <w:t>clear</w:t>
      </w:r>
      <w:proofErr w:type="gramEnd"/>
      <w:r w:rsidRPr="00AF4EE8">
        <w:t xml:space="preserve"> </w:t>
      </w:r>
    </w:p>
    <w:p w:rsidRPr="00AF4EE8" w:rsidR="00C6565F" w:rsidP="00AF4EE8" w:rsidRDefault="00C6565F" w14:paraId="6504DD0C" w14:textId="77777777">
      <w:pPr>
        <w:pStyle w:val="Bulletmike0"/>
      </w:pPr>
      <w:r w:rsidRPr="00AF4EE8">
        <w:t xml:space="preserve">We will ensure, through due diligence processes, that any partner organisation has in place adequate safeguarding arrangements, including appropriate policies and mechanisms in line with MRF’s values or that the MRF policy and Code of Conduct is adopted and applied by partners where this is not found to be the </w:t>
      </w:r>
      <w:proofErr w:type="gramStart"/>
      <w:r w:rsidRPr="00AF4EE8">
        <w:t>case</w:t>
      </w:r>
      <w:proofErr w:type="gramEnd"/>
    </w:p>
    <w:p w:rsidRPr="00AF4EE8" w:rsidR="00C6565F" w:rsidP="00AF4EE8" w:rsidRDefault="00C6565F" w14:paraId="06A0FA4B" w14:textId="77777777">
      <w:pPr>
        <w:pStyle w:val="Bulletmike0"/>
      </w:pPr>
      <w:r w:rsidRPr="00AF4EE8">
        <w:t xml:space="preserve">Partners will be made aware of requirements for them to report safeguarding concerns to MRF through our Safeguarding Procedures </w:t>
      </w:r>
    </w:p>
    <w:p w:rsidR="00C6565F" w:rsidP="00C6565F" w:rsidRDefault="00C6565F" w14:paraId="68AEB60F" w14:textId="77777777">
      <w:pPr>
        <w:pStyle w:val="Bulletmike0"/>
        <w:numPr>
          <w:ilvl w:val="0"/>
          <w:numId w:val="0"/>
        </w:numPr>
        <w:rPr>
          <w:noProof/>
        </w:rPr>
      </w:pPr>
    </w:p>
    <w:p w:rsidRPr="00755170" w:rsidR="00C6565F" w:rsidP="00C6565F" w:rsidRDefault="00C6565F" w14:paraId="60EB9443" w14:textId="77777777">
      <w:pPr>
        <w:pStyle w:val="Heading2"/>
        <w:rPr>
          <w:b/>
          <w:color w:val="582C83"/>
          <w:sz w:val="22"/>
          <w:szCs w:val="28"/>
        </w:rPr>
      </w:pPr>
      <w:r w:rsidRPr="00755170">
        <w:rPr>
          <w:b/>
          <w:color w:val="582C83"/>
          <w:sz w:val="22"/>
          <w:szCs w:val="28"/>
        </w:rPr>
        <w:lastRenderedPageBreak/>
        <w:t xml:space="preserve">Reporting and responding to </w:t>
      </w:r>
      <w:proofErr w:type="gramStart"/>
      <w:r w:rsidRPr="00755170">
        <w:rPr>
          <w:b/>
          <w:color w:val="582C83"/>
          <w:sz w:val="22"/>
          <w:szCs w:val="28"/>
        </w:rPr>
        <w:t>concerns</w:t>
      </w:r>
      <w:proofErr w:type="gramEnd"/>
    </w:p>
    <w:p w:rsidRPr="00996441" w:rsidR="00C6565F" w:rsidP="007B44E7" w:rsidRDefault="00C6565F" w14:paraId="48A3CB78" w14:textId="182D529C">
      <w:pPr>
        <w:pStyle w:val="Bulletmike0"/>
      </w:pPr>
      <w:r w:rsidRPr="00996441">
        <w:t>We will establish and communicate clear step</w:t>
      </w:r>
      <w:r w:rsidR="00067842">
        <w:t>-</w:t>
      </w:r>
      <w:r w:rsidRPr="00996441">
        <w:t>by</w:t>
      </w:r>
      <w:r w:rsidR="00067842">
        <w:t>-</w:t>
      </w:r>
      <w:r w:rsidRPr="00996441">
        <w:t xml:space="preserve">step </w:t>
      </w:r>
      <w:r>
        <w:t xml:space="preserve">confidential </w:t>
      </w:r>
      <w:r w:rsidRPr="00996441">
        <w:t xml:space="preserve">procedures for reporting and responding to </w:t>
      </w:r>
      <w:proofErr w:type="gramStart"/>
      <w:r w:rsidRPr="00996441">
        <w:t>concerns</w:t>
      </w:r>
      <w:proofErr w:type="gramEnd"/>
    </w:p>
    <w:p w:rsidRPr="00996441" w:rsidR="00C6565F" w:rsidP="007B44E7" w:rsidRDefault="00C6565F" w14:paraId="4EC1A178" w14:textId="77777777">
      <w:pPr>
        <w:pStyle w:val="Bulletmike0"/>
      </w:pPr>
      <w:r w:rsidRPr="00996441">
        <w:t xml:space="preserve">Anyone who personally experiences a safeguarding concern has the right to confidentially disclose to whichever member of MRF staff with whom they feel most comfortable doing </w:t>
      </w:r>
      <w:proofErr w:type="gramStart"/>
      <w:r w:rsidRPr="00996441">
        <w:t>so</w:t>
      </w:r>
      <w:proofErr w:type="gramEnd"/>
    </w:p>
    <w:p w:rsidRPr="00996441" w:rsidR="00C6565F" w:rsidP="007B44E7" w:rsidRDefault="00C6565F" w14:paraId="755C617E" w14:textId="77777777">
      <w:pPr>
        <w:pStyle w:val="Bulletmike0"/>
      </w:pPr>
      <w:r w:rsidRPr="00996441">
        <w:t xml:space="preserve">Anyone made aware of any safeguarding concern affecting others must confidentially report </w:t>
      </w:r>
      <w:proofErr w:type="gramStart"/>
      <w:r w:rsidRPr="00996441">
        <w:t>this</w:t>
      </w:r>
      <w:proofErr w:type="gramEnd"/>
    </w:p>
    <w:p w:rsidRPr="00996441" w:rsidR="00C6565F" w:rsidP="007B44E7" w:rsidRDefault="00C6565F" w14:paraId="65475D1F" w14:textId="166A67BB">
      <w:pPr>
        <w:pStyle w:val="Bulletmike0"/>
      </w:pPr>
      <w:r w:rsidRPr="00996441">
        <w:t xml:space="preserve">Reports can be </w:t>
      </w:r>
      <w:r>
        <w:t xml:space="preserve">formally </w:t>
      </w:r>
      <w:r w:rsidRPr="00996441">
        <w:t>receiv</w:t>
      </w:r>
      <w:r w:rsidR="001D16D2">
        <w:t>ed by the Safeguarding Officer</w:t>
      </w:r>
      <w:r>
        <w:t xml:space="preserve">, </w:t>
      </w:r>
      <w:r w:rsidRPr="00996441">
        <w:t xml:space="preserve">Chief Executive or nominated </w:t>
      </w:r>
      <w:proofErr w:type="gramStart"/>
      <w:r w:rsidRPr="00996441">
        <w:t>Trustee</w:t>
      </w:r>
      <w:proofErr w:type="gramEnd"/>
    </w:p>
    <w:p w:rsidRPr="00996441" w:rsidR="00C6565F" w:rsidP="007B44E7" w:rsidRDefault="00C6565F" w14:paraId="50AD0C34" w14:textId="77777777">
      <w:pPr>
        <w:pStyle w:val="Bulletmike0"/>
      </w:pPr>
      <w:r w:rsidRPr="00996441">
        <w:t xml:space="preserve">Through accountability processes, beneficiaries will be made aware of their right to report safeguarding concerns and the routes through which they can do </w:t>
      </w:r>
      <w:proofErr w:type="gramStart"/>
      <w:r w:rsidRPr="00996441">
        <w:t>so</w:t>
      </w:r>
      <w:proofErr w:type="gramEnd"/>
    </w:p>
    <w:p w:rsidRPr="00DC5F63" w:rsidR="00C6565F" w:rsidP="007B44E7" w:rsidRDefault="00C6565F" w14:paraId="5D23243F" w14:textId="77777777">
      <w:pPr>
        <w:pStyle w:val="Bulletmike0"/>
      </w:pPr>
      <w:r w:rsidRPr="00DC5F63">
        <w:t>Any allegations of abuse made against anyone working for MRF in any capacity will be thoroughly investigated as will any alleged breach of the Safeguarding Policy or the Code of Conduct</w:t>
      </w:r>
    </w:p>
    <w:p w:rsidRPr="0091294C" w:rsidR="00C6565F" w:rsidP="007B44E7" w:rsidRDefault="00C6565F" w14:paraId="0E8A5F33" w14:textId="28A67124">
      <w:pPr>
        <w:pStyle w:val="Bulletmike0"/>
      </w:pPr>
      <w:r w:rsidRPr="00DC5F63">
        <w:t xml:space="preserve">If the report involves a criminal act, it will be referred to the </w:t>
      </w:r>
      <w:r w:rsidR="009C1B70">
        <w:t>relevant</w:t>
      </w:r>
      <w:r w:rsidRPr="00DC5F63">
        <w:t xml:space="preserve"> authorities</w:t>
      </w:r>
      <w:r w:rsidR="009C1B70">
        <w:t xml:space="preserve"> (including the Police)</w:t>
      </w:r>
      <w:r w:rsidRPr="00DC5F63">
        <w:t xml:space="preserve"> if it relates to a child. It may be referred to the </w:t>
      </w:r>
      <w:r w:rsidR="009C1B70">
        <w:t xml:space="preserve">relevant </w:t>
      </w:r>
      <w:r w:rsidRPr="00DC5F63">
        <w:t>authorities if it involves an adult, s/he agrees to a referral and if this does not represent a protection risk to anyone involved</w:t>
      </w:r>
      <w:r w:rsidR="00E524C2">
        <w:t>. If concern exists that a vulnerable adult’s ability to consent may be compromised, expert advice will be sought.</w:t>
      </w:r>
    </w:p>
    <w:p w:rsidR="006D319F" w:rsidP="007B44E7" w:rsidRDefault="006D319F" w14:paraId="6224F573" w14:textId="77777777">
      <w:pPr>
        <w:pStyle w:val="Bulletmike0"/>
        <w:rPr>
          <w:b/>
          <w:noProof/>
          <w:sz w:val="24"/>
          <w:szCs w:val="24"/>
        </w:rPr>
      </w:pPr>
      <w:r>
        <w:rPr>
          <w:b/>
          <w:noProof/>
          <w:sz w:val="24"/>
          <w:szCs w:val="24"/>
        </w:rPr>
        <w:br w:type="page"/>
      </w:r>
    </w:p>
    <w:p w:rsidR="00A73A3B" w:rsidP="006D319F" w:rsidRDefault="00A73A3B" w14:paraId="353EE82F" w14:textId="0D8798F5">
      <w:pPr>
        <w:pStyle w:val="Heading1"/>
        <w:rPr>
          <w:noProof/>
          <w:lang w:val="en-GB"/>
        </w:rPr>
      </w:pPr>
      <w:r w:rsidRPr="00A73A3B">
        <w:rPr>
          <w:noProof/>
          <w:lang w:val="en-GB"/>
        </w:rPr>
        <w:lastRenderedPageBreak/>
        <w:t>A</w:t>
      </w:r>
      <w:r w:rsidR="000F18AB">
        <w:rPr>
          <w:noProof/>
          <w:lang w:val="en-GB"/>
        </w:rPr>
        <w:t>ppendices</w:t>
      </w:r>
    </w:p>
    <w:p w:rsidRPr="00A73A3B" w:rsidR="00A73A3B" w:rsidP="006D319F" w:rsidRDefault="006D319F" w14:paraId="290FE003" w14:textId="73CBF0C9">
      <w:pPr>
        <w:pStyle w:val="Heading2"/>
        <w:rPr>
          <w:noProof/>
          <w:lang w:val="en-GB"/>
        </w:rPr>
      </w:pPr>
      <w:bookmarkStart w:name="_A_–_Defintions" w:id="0"/>
      <w:bookmarkEnd w:id="0"/>
      <w:r>
        <w:rPr>
          <w:noProof/>
          <w:lang w:val="en-GB"/>
        </w:rPr>
        <w:t xml:space="preserve">A – Defintions </w:t>
      </w:r>
    </w:p>
    <w:p w:rsidR="00F607B5" w:rsidP="00A73A3B" w:rsidRDefault="00F607B5" w14:paraId="1A40EDE2" w14:textId="3D70DBBF">
      <w:pPr>
        <w:rPr>
          <w:b/>
          <w:noProof/>
          <w:lang w:val="en-GB"/>
        </w:rPr>
      </w:pPr>
      <w:r>
        <w:rPr>
          <w:b/>
          <w:noProof/>
          <w:lang w:val="en-GB"/>
        </w:rPr>
        <w:t xml:space="preserve">Associates </w:t>
      </w:r>
      <w:r w:rsidRPr="00902F84" w:rsidR="00DA7C64">
        <w:rPr>
          <w:noProof/>
          <w:lang w:val="en-GB"/>
        </w:rPr>
        <w:t>–</w:t>
      </w:r>
      <w:r w:rsidR="00A52B12">
        <w:rPr>
          <w:b/>
          <w:noProof/>
          <w:lang w:val="en-GB"/>
        </w:rPr>
        <w:t xml:space="preserve"> </w:t>
      </w:r>
      <w:r w:rsidRPr="004E774D" w:rsidR="00A52B12">
        <w:rPr>
          <w:lang w:val="en-GB"/>
        </w:rPr>
        <w:t>includes</w:t>
      </w:r>
      <w:r w:rsidRPr="004E774D">
        <w:rPr>
          <w:lang w:val="en-GB"/>
        </w:rPr>
        <w:t xml:space="preserve"> consulta</w:t>
      </w:r>
      <w:r>
        <w:rPr>
          <w:lang w:val="en-GB"/>
        </w:rPr>
        <w:t xml:space="preserve">nts supporting the work of MRF, </w:t>
      </w:r>
      <w:r w:rsidRPr="004E774D">
        <w:rPr>
          <w:lang w:val="en-GB"/>
        </w:rPr>
        <w:t xml:space="preserve">suppliers/service providers and </w:t>
      </w:r>
      <w:r w:rsidRPr="00E12710">
        <w:rPr>
          <w:lang w:val="en-GB"/>
        </w:rPr>
        <w:t>fundraisers working on behalf of MRF</w:t>
      </w:r>
      <w:r w:rsidRPr="00D85903">
        <w:rPr>
          <w:lang w:val="en-GB"/>
        </w:rPr>
        <w:t xml:space="preserve"> as</w:t>
      </w:r>
      <w:r w:rsidRPr="004E774D">
        <w:rPr>
          <w:lang w:val="en-GB"/>
        </w:rPr>
        <w:t xml:space="preserve"> well as visitors to MRF activities.</w:t>
      </w:r>
    </w:p>
    <w:p w:rsidRPr="00902F84" w:rsidR="00A73A3B" w:rsidP="00A73A3B" w:rsidRDefault="00A73A3B" w14:paraId="7FC7CC7F" w14:textId="0DF07A12">
      <w:pPr>
        <w:rPr>
          <w:noProof/>
          <w:lang w:val="en-GB"/>
        </w:rPr>
      </w:pPr>
      <w:r w:rsidRPr="00902F84">
        <w:rPr>
          <w:b/>
          <w:noProof/>
          <w:lang w:val="en-GB"/>
        </w:rPr>
        <w:t>Beneficiary</w:t>
      </w:r>
      <w:r w:rsidRPr="00902F84">
        <w:rPr>
          <w:noProof/>
          <w:lang w:val="en-GB"/>
        </w:rPr>
        <w:t xml:space="preserve"> – someone in receipt of assistance.  Alternatively referred to as a member of the affected population, person we seek to assist, person affected by crisis</w:t>
      </w:r>
      <w:r w:rsidR="00D65F2D">
        <w:rPr>
          <w:noProof/>
          <w:lang w:val="en-GB"/>
        </w:rPr>
        <w:t>/meningitis</w:t>
      </w:r>
      <w:r w:rsidRPr="00902F84">
        <w:rPr>
          <w:noProof/>
          <w:lang w:val="en-GB"/>
        </w:rPr>
        <w:t xml:space="preserve">, project/programme participant or rights holders. </w:t>
      </w:r>
    </w:p>
    <w:p w:rsidRPr="00902F84" w:rsidR="00A73A3B" w:rsidP="00356381" w:rsidRDefault="00A73A3B" w14:paraId="2EFD3221" w14:textId="17CB1EF0">
      <w:pPr>
        <w:pStyle w:val="BodyText2"/>
        <w:spacing w:line="276" w:lineRule="auto"/>
        <w:jc w:val="left"/>
        <w:rPr>
          <w:rFonts w:ascii="Arial" w:hAnsi="Arial" w:eastAsiaTheme="minorEastAsia" w:cstheme="minorBidi"/>
          <w:b w:val="0"/>
          <w:bCs w:val="0"/>
          <w:i w:val="0"/>
          <w:iCs w:val="0"/>
          <w:noProof/>
          <w:sz w:val="20"/>
          <w:szCs w:val="17"/>
          <w:lang w:eastAsia="ja-JP"/>
        </w:rPr>
      </w:pPr>
      <w:r w:rsidRPr="00902F84">
        <w:rPr>
          <w:rFonts w:ascii="Arial" w:hAnsi="Arial" w:eastAsiaTheme="minorEastAsia" w:cstheme="minorBidi"/>
          <w:bCs w:val="0"/>
          <w:i w:val="0"/>
          <w:iCs w:val="0"/>
          <w:noProof/>
          <w:sz w:val="20"/>
          <w:szCs w:val="17"/>
          <w:lang w:eastAsia="ja-JP"/>
        </w:rPr>
        <w:t>Best Interests of the Child</w:t>
      </w:r>
      <w:r>
        <w:rPr>
          <w:rFonts w:ascii="Arial" w:hAnsi="Arial" w:eastAsiaTheme="minorEastAsia" w:cstheme="minorBidi"/>
          <w:bCs w:val="0"/>
          <w:i w:val="0"/>
          <w:iCs w:val="0"/>
          <w:noProof/>
          <w:sz w:val="20"/>
          <w:szCs w:val="17"/>
          <w:lang w:eastAsia="ja-JP"/>
        </w:rPr>
        <w:t xml:space="preserve"> </w:t>
      </w:r>
      <w:r w:rsidRPr="00902F84" w:rsidR="00DA7C64">
        <w:rPr>
          <w:noProof/>
        </w:rPr>
        <w:t>–</w:t>
      </w:r>
      <w:r>
        <w:rPr>
          <w:rFonts w:ascii="Arial" w:hAnsi="Arial" w:eastAsiaTheme="minorEastAsia" w:cstheme="minorBidi"/>
          <w:b w:val="0"/>
          <w:bCs w:val="0"/>
          <w:i w:val="0"/>
          <w:iCs w:val="0"/>
          <w:noProof/>
          <w:sz w:val="20"/>
          <w:szCs w:val="17"/>
          <w:lang w:eastAsia="ja-JP"/>
        </w:rPr>
        <w:t xml:space="preserve"> </w:t>
      </w:r>
      <w:r w:rsidR="00DA7C64">
        <w:rPr>
          <w:rFonts w:ascii="Arial" w:hAnsi="Arial" w:eastAsiaTheme="minorEastAsia" w:cstheme="minorBidi"/>
          <w:b w:val="0"/>
          <w:bCs w:val="0"/>
          <w:i w:val="0"/>
          <w:iCs w:val="0"/>
          <w:noProof/>
          <w:sz w:val="20"/>
          <w:szCs w:val="17"/>
          <w:lang w:eastAsia="ja-JP"/>
        </w:rPr>
        <w:t>A</w:t>
      </w:r>
      <w:r w:rsidRPr="00902F84">
        <w:rPr>
          <w:rFonts w:ascii="Arial" w:hAnsi="Arial" w:eastAsiaTheme="minorEastAsia" w:cstheme="minorBidi"/>
          <w:b w:val="0"/>
          <w:bCs w:val="0"/>
          <w:i w:val="0"/>
          <w:iCs w:val="0"/>
          <w:noProof/>
          <w:sz w:val="20"/>
          <w:szCs w:val="17"/>
          <w:lang w:eastAsia="ja-JP"/>
        </w:rPr>
        <w:t xml:space="preserve">rticle 3 of the </w:t>
      </w:r>
      <w:hyperlink w:history="1" r:id="rId19">
        <w:r w:rsidRPr="00902F84">
          <w:rPr>
            <w:rStyle w:val="Hyperlink"/>
            <w:rFonts w:ascii="Arial" w:hAnsi="Arial" w:eastAsiaTheme="minorEastAsia" w:cstheme="minorBidi"/>
            <w:b w:val="0"/>
            <w:bCs w:val="0"/>
            <w:i w:val="0"/>
            <w:iCs w:val="0"/>
            <w:noProof/>
            <w:sz w:val="20"/>
            <w:szCs w:val="17"/>
            <w:lang w:eastAsia="ja-JP"/>
          </w:rPr>
          <w:t>UN Convention on the Rights of the Child</w:t>
        </w:r>
      </w:hyperlink>
      <w:r w:rsidRPr="00902F84">
        <w:rPr>
          <w:rFonts w:ascii="Arial" w:hAnsi="Arial" w:eastAsiaTheme="minorEastAsia" w:cstheme="minorBidi"/>
          <w:b w:val="0"/>
          <w:bCs w:val="0"/>
          <w:i w:val="0"/>
          <w:iCs w:val="0"/>
          <w:noProof/>
          <w:sz w:val="20"/>
          <w:szCs w:val="17"/>
          <w:lang w:eastAsia="ja-JP"/>
        </w:rPr>
        <w:t xml:space="preserve"> establishes the best interests of a child as a primary consideration in all actions affecting children. Decisions that affect children should be made based on consideration of their physical, emotional and psychological wellbeing, and the need to prevent harm to them or other children. In assessing what is in a child’s best interests, the child’s views must be given due consideration in accordance with their age and understanding.</w:t>
      </w:r>
    </w:p>
    <w:p w:rsidRPr="00902F84" w:rsidR="00A73A3B" w:rsidP="00A73A3B" w:rsidRDefault="00A73A3B" w14:paraId="30F24BF0" w14:textId="77777777">
      <w:pPr>
        <w:rPr>
          <w:noProof/>
          <w:lang w:val="en-GB"/>
        </w:rPr>
      </w:pPr>
      <w:r w:rsidRPr="00902F84">
        <w:rPr>
          <w:b/>
          <w:noProof/>
          <w:lang w:val="en-GB"/>
        </w:rPr>
        <w:t>Child protection</w:t>
      </w:r>
      <w:r w:rsidRPr="00902F84">
        <w:rPr>
          <w:noProof/>
          <w:lang w:val="en-GB"/>
        </w:rPr>
        <w:t xml:space="preserve"> – preventing and responding to violence, exploitation and abuse against children – including [but not limited to] commercial sexual exploitation, trafficking, child labour and harmful traditional practices.</w:t>
      </w:r>
    </w:p>
    <w:p w:rsidRPr="00902F84" w:rsidR="00A73A3B" w:rsidP="00A73A3B" w:rsidRDefault="00A73A3B" w14:paraId="5A57F87F" w14:textId="629724EF">
      <w:pPr>
        <w:rPr>
          <w:noProof/>
          <w:lang w:val="en-GB"/>
        </w:rPr>
      </w:pPr>
      <w:r w:rsidRPr="00902F84">
        <w:rPr>
          <w:b/>
          <w:noProof/>
          <w:lang w:val="en-GB"/>
        </w:rPr>
        <w:t xml:space="preserve">Code of </w:t>
      </w:r>
      <w:r w:rsidR="00356381">
        <w:rPr>
          <w:b/>
          <w:noProof/>
          <w:lang w:val="en-GB"/>
        </w:rPr>
        <w:t>C</w:t>
      </w:r>
      <w:r w:rsidRPr="00902F84">
        <w:rPr>
          <w:b/>
          <w:noProof/>
          <w:lang w:val="en-GB"/>
        </w:rPr>
        <w:t>onduct</w:t>
      </w:r>
      <w:r w:rsidRPr="00902F84">
        <w:rPr>
          <w:noProof/>
          <w:lang w:val="en-GB"/>
        </w:rPr>
        <w:t xml:space="preserve"> – a set of standards about behaviour that staff of an organisation are obliged to adhere to.</w:t>
      </w:r>
    </w:p>
    <w:p w:rsidR="00A73A3B" w:rsidP="00A73A3B" w:rsidRDefault="00A73A3B" w14:paraId="7BE516D2" w14:textId="77777777">
      <w:pPr>
        <w:rPr>
          <w:noProof/>
          <w:lang w:val="en-GB"/>
        </w:rPr>
      </w:pPr>
      <w:r w:rsidRPr="00902F84">
        <w:rPr>
          <w:b/>
          <w:noProof/>
          <w:lang w:val="en-GB"/>
        </w:rPr>
        <w:t>Confidentiality</w:t>
      </w:r>
      <w:r w:rsidRPr="00902F84">
        <w:rPr>
          <w:noProof/>
          <w:lang w:val="en-GB"/>
        </w:rPr>
        <w:t xml:space="preserve"> – an ethical principle that restricts access to and dissemination of information. In investigations on sexual exploitation, abuse, fraud and corruption, it requires that information is available only to a limited number of authorised people for conducting the investigation. Confidentiality helps create an environment in which witnesses are more willing to recount their versions of events and builds trust in the system and in the organisation.</w:t>
      </w:r>
    </w:p>
    <w:p w:rsidRPr="00902F84" w:rsidR="00273BA7" w:rsidP="00273BA7" w:rsidRDefault="00273BA7" w14:paraId="0444C01F" w14:textId="77777777">
      <w:pPr>
        <w:rPr>
          <w:noProof/>
          <w:lang w:val="en-GB"/>
        </w:rPr>
      </w:pPr>
      <w:r w:rsidRPr="00902F84">
        <w:rPr>
          <w:b/>
          <w:noProof/>
          <w:lang w:val="en-GB"/>
        </w:rPr>
        <w:t>Emotional or psychological abuse</w:t>
      </w:r>
      <w:r w:rsidRPr="00902F84">
        <w:rPr>
          <w:noProof/>
          <w:lang w:val="en-GB"/>
        </w:rPr>
        <w:t xml:space="preserve"> – this includes humiliating and degrading treatment such as bad name calling, constant criticism, belittling, persistent shaming, solitary confinement and isolation.     </w:t>
      </w:r>
    </w:p>
    <w:p w:rsidRPr="00902F84" w:rsidR="00273BA7" w:rsidP="00273BA7" w:rsidRDefault="00273BA7" w14:paraId="79146688" w14:textId="77777777">
      <w:pPr>
        <w:rPr>
          <w:noProof/>
          <w:lang w:val="en-GB"/>
        </w:rPr>
      </w:pPr>
      <w:r w:rsidRPr="00902F84">
        <w:rPr>
          <w:b/>
          <w:noProof/>
          <w:lang w:val="en-GB"/>
        </w:rPr>
        <w:t>Partner</w:t>
      </w:r>
      <w:r w:rsidRPr="00902F84">
        <w:rPr>
          <w:noProof/>
          <w:lang w:val="en-GB"/>
        </w:rPr>
        <w:t xml:space="preserve"> – an organisation which is e</w:t>
      </w:r>
      <w:r>
        <w:rPr>
          <w:noProof/>
          <w:lang w:val="en-GB"/>
        </w:rPr>
        <w:t xml:space="preserve">ither implementing a programme, </w:t>
      </w:r>
      <w:r w:rsidRPr="00902F84">
        <w:rPr>
          <w:noProof/>
          <w:lang w:val="en-GB"/>
        </w:rPr>
        <w:t xml:space="preserve">project or study funded by/through MRF or in partnership with MRF on a non-monetary basis. </w:t>
      </w:r>
    </w:p>
    <w:p w:rsidRPr="00902F84" w:rsidR="00273BA7" w:rsidP="00A73A3B" w:rsidRDefault="00273BA7" w14:paraId="3A9F1711" w14:textId="2DF7C411">
      <w:pPr>
        <w:rPr>
          <w:noProof/>
          <w:lang w:val="en-GB"/>
        </w:rPr>
      </w:pPr>
      <w:r w:rsidRPr="00902F84">
        <w:rPr>
          <w:b/>
          <w:noProof/>
          <w:lang w:val="en-GB"/>
        </w:rPr>
        <w:t>Physical Abuse</w:t>
      </w:r>
      <w:r w:rsidRPr="00902F84">
        <w:rPr>
          <w:noProof/>
          <w:lang w:val="en-GB"/>
        </w:rPr>
        <w:t xml:space="preserve"> – involves the use of violent physical force so as to cause actual or like</w:t>
      </w:r>
      <w:r w:rsidR="00001B02">
        <w:rPr>
          <w:noProof/>
          <w:lang w:val="en-GB"/>
        </w:rPr>
        <w:t>ly physical injury or suffering</w:t>
      </w:r>
      <w:r w:rsidRPr="00902F84">
        <w:rPr>
          <w:noProof/>
          <w:lang w:val="en-GB"/>
        </w:rPr>
        <w:t xml:space="preserve"> e.g. hitting, shaking, burning, female genital mutilation, torture. </w:t>
      </w:r>
    </w:p>
    <w:p w:rsidRPr="00902F84" w:rsidR="00A73A3B" w:rsidP="00A73A3B" w:rsidRDefault="00A73A3B" w14:paraId="1EA96BB4" w14:textId="75DE75F4">
      <w:pPr>
        <w:rPr>
          <w:noProof/>
          <w:lang w:val="en-GB"/>
        </w:rPr>
      </w:pPr>
      <w:r w:rsidRPr="00902F84">
        <w:rPr>
          <w:b/>
          <w:noProof/>
          <w:lang w:val="en-GB"/>
        </w:rPr>
        <w:t xml:space="preserve">Protection from </w:t>
      </w:r>
      <w:r w:rsidR="00001B02">
        <w:rPr>
          <w:b/>
          <w:noProof/>
          <w:lang w:val="en-GB"/>
        </w:rPr>
        <w:t>S</w:t>
      </w:r>
      <w:r w:rsidRPr="00902F84">
        <w:rPr>
          <w:b/>
          <w:noProof/>
          <w:lang w:val="en-GB"/>
        </w:rPr>
        <w:t>exual Exploitation and Abuse (PSEA)</w:t>
      </w:r>
      <w:r w:rsidRPr="00902F84">
        <w:rPr>
          <w:noProof/>
          <w:lang w:val="en-GB"/>
        </w:rPr>
        <w:t xml:space="preserve"> – the term used by the UN and NGO community to refer to measures taken to protect vulnerable people from sexual exploitation and abuse by their own staff and associated personnel.</w:t>
      </w:r>
    </w:p>
    <w:p w:rsidRPr="00902F84" w:rsidR="00A73A3B" w:rsidP="00A73A3B" w:rsidRDefault="00A73A3B" w14:paraId="5ED6274A" w14:textId="510C8212">
      <w:pPr>
        <w:rPr>
          <w:noProof/>
          <w:lang w:val="en-GB"/>
        </w:rPr>
      </w:pPr>
      <w:r w:rsidRPr="00902F84">
        <w:rPr>
          <w:b/>
          <w:noProof/>
          <w:lang w:val="en-GB"/>
        </w:rPr>
        <w:t>Sexual abuse</w:t>
      </w:r>
      <w:r w:rsidRPr="00902F84">
        <w:rPr>
          <w:noProof/>
          <w:lang w:val="en-GB"/>
        </w:rPr>
        <w:t xml:space="preserve"> – all forms of sexual violence including incest, early and forced marriage, rape, involvement in pornography, and sexual slavery. </w:t>
      </w:r>
      <w:r w:rsidR="00235648">
        <w:rPr>
          <w:noProof/>
          <w:lang w:val="en-GB"/>
        </w:rPr>
        <w:t>S</w:t>
      </w:r>
      <w:r w:rsidRPr="00902F84">
        <w:rPr>
          <w:noProof/>
          <w:lang w:val="en-GB"/>
        </w:rPr>
        <w:t>exual abuse may also include indecent touching or exposure, using sexually explicit language towards a child and showing children pornographic material.</w:t>
      </w:r>
    </w:p>
    <w:p w:rsidRPr="00F97E3A" w:rsidR="006B3DC6" w:rsidP="00A73A3B" w:rsidRDefault="00A73A3B" w14:paraId="5AB97811" w14:textId="1381A09A">
      <w:pPr>
        <w:rPr>
          <w:noProof/>
          <w:lang w:val="en-GB"/>
        </w:rPr>
      </w:pPr>
      <w:r w:rsidRPr="00902F84">
        <w:rPr>
          <w:b/>
          <w:noProof/>
          <w:lang w:val="en-GB"/>
        </w:rPr>
        <w:t xml:space="preserve">Sexual exploitation </w:t>
      </w:r>
      <w:r w:rsidRPr="00902F84" w:rsidR="00DA7C64">
        <w:rPr>
          <w:noProof/>
          <w:lang w:val="en-GB"/>
        </w:rPr>
        <w:t>–</w:t>
      </w:r>
      <w:r w:rsidRPr="00902F84">
        <w:rPr>
          <w:noProof/>
          <w:lang w:val="en-GB"/>
        </w:rPr>
        <w:t xml:space="preserve"> means any actual or attempted abuse of a position of vulnerability, differential power or trust for sexual purposes including, but not limited to, profiting monetarily, socially or politically from the sexual exploitation of another.</w:t>
      </w:r>
    </w:p>
    <w:p w:rsidR="00A73A3B" w:rsidP="00A73A3B" w:rsidRDefault="00A73A3B" w14:paraId="2B7B6D98" w14:textId="3E564DD6">
      <w:pPr>
        <w:rPr>
          <w:rFonts w:cs="Arial"/>
          <w:noProof/>
          <w:lang w:val="en-GB"/>
        </w:rPr>
      </w:pPr>
      <w:r w:rsidRPr="00902F84">
        <w:rPr>
          <w:rFonts w:cs="Arial"/>
          <w:b/>
          <w:noProof/>
          <w:lang w:val="en-GB"/>
        </w:rPr>
        <w:lastRenderedPageBreak/>
        <w:t>Sexual exploitation of a child</w:t>
      </w:r>
      <w:r w:rsidRPr="00902F84">
        <w:rPr>
          <w:rFonts w:cs="Arial"/>
          <w:noProof/>
          <w:lang w:val="en-GB"/>
        </w:rPr>
        <w:t xml:space="preserve"> </w:t>
      </w:r>
      <w:r w:rsidRPr="00902F84" w:rsidR="00DA7C64">
        <w:rPr>
          <w:noProof/>
          <w:lang w:val="en-GB"/>
        </w:rPr>
        <w:t>–</w:t>
      </w:r>
      <w:r w:rsidRPr="00902F84">
        <w:rPr>
          <w:rFonts w:cs="Arial"/>
          <w:noProof/>
          <w:color w:val="404040"/>
          <w:lang w:val="en-GB"/>
        </w:rPr>
        <w:t xml:space="preserve"> </w:t>
      </w:r>
      <w:r w:rsidRPr="00902F84">
        <w:rPr>
          <w:rFonts w:cs="Arial"/>
          <w:noProof/>
          <w:lang w:val="en-GB"/>
        </w:rPr>
        <w:t>the sexual exploitation of a child who is under the age of consent, is child sexua</w:t>
      </w:r>
      <w:r w:rsidR="00E67752">
        <w:rPr>
          <w:rFonts w:cs="Arial"/>
          <w:noProof/>
          <w:lang w:val="en-GB"/>
        </w:rPr>
        <w:t>l abuse and a criminal offence.</w:t>
      </w:r>
      <w:r w:rsidRPr="00902F84">
        <w:rPr>
          <w:rFonts w:cs="Arial"/>
          <w:noProof/>
          <w:lang w:val="en-GB"/>
        </w:rPr>
        <w:t xml:space="preserve"> An underage child cannot legally give informed consent to sexual activity. MRF considers that: a. sexual activity with a child with or without their consent is child abuse and a crime e.g. rape, indecent assault; b. any sexual activity with a child who is under the legal age of consent of the country in which </w:t>
      </w:r>
      <w:r w:rsidR="00E67752">
        <w:rPr>
          <w:rFonts w:cs="Arial"/>
          <w:noProof/>
          <w:lang w:val="en-GB"/>
        </w:rPr>
        <w:t>s</w:t>
      </w:r>
      <w:r w:rsidRPr="00902F84">
        <w:rPr>
          <w:rFonts w:cs="Arial"/>
          <w:noProof/>
          <w:lang w:val="en-GB"/>
        </w:rPr>
        <w:t>/he lives and/or in which the offence occurs regardless of whether they consent is child abuse and a crime; c. consensual sexual activity with a child over the legal age of con</w:t>
      </w:r>
      <w:r w:rsidR="00E67752">
        <w:rPr>
          <w:rFonts w:cs="Arial"/>
          <w:noProof/>
          <w:lang w:val="en-GB"/>
        </w:rPr>
        <w:t>sent of the country in which s</w:t>
      </w:r>
      <w:r w:rsidRPr="00902F84">
        <w:rPr>
          <w:rFonts w:cs="Arial"/>
          <w:noProof/>
          <w:lang w:val="en-GB"/>
        </w:rPr>
        <w:t xml:space="preserve">/he lives and/or in which the offence occurs, but below 18 years (although not a crime) will be dealt with as a breach of this Safeguarding Policy and the </w:t>
      </w:r>
      <w:r w:rsidRPr="000F18AB">
        <w:rPr>
          <w:rFonts w:cs="Arial"/>
          <w:noProof/>
          <w:lang w:val="en-GB"/>
        </w:rPr>
        <w:t>Code of Conduct.</w:t>
      </w:r>
    </w:p>
    <w:p w:rsidR="00965078" w:rsidP="0092169C" w:rsidRDefault="00A73A3B" w14:paraId="05659083" w14:textId="0FF4D42D">
      <w:r w:rsidRPr="0092169C">
        <w:rPr>
          <w:rFonts w:cs="Arial"/>
          <w:b/>
          <w:noProof/>
          <w:lang w:val="en-GB"/>
        </w:rPr>
        <w:t xml:space="preserve">Volunteer </w:t>
      </w:r>
      <w:r w:rsidRPr="00902F84" w:rsidR="00DA7C64">
        <w:rPr>
          <w:noProof/>
          <w:lang w:val="en-GB"/>
        </w:rPr>
        <w:t>–</w:t>
      </w:r>
      <w:r>
        <w:t xml:space="preserve"> a person</w:t>
      </w:r>
      <w:r>
        <w:rPr>
          <w:rFonts w:cs="Arial"/>
          <w:color w:val="000000"/>
          <w:shd w:val="clear" w:color="auto" w:fill="FFFFFF"/>
        </w:rPr>
        <w:t xml:space="preserve"> who undertakes any activity that involves spending time, unpaid, doing something that aims to benefit MRF. </w:t>
      </w:r>
      <w:r w:rsidR="009C1B70">
        <w:br/>
      </w:r>
    </w:p>
    <w:p w:rsidR="00082A8E" w:rsidP="0092169C" w:rsidRDefault="00082A8E" w14:paraId="4C742C27" w14:textId="77777777"/>
    <w:p w:rsidR="006B3DC6" w:rsidP="00A73A3B" w:rsidRDefault="006B3DC6" w14:paraId="2944FC1F" w14:textId="77777777">
      <w:pPr>
        <w:rPr>
          <w:rFonts w:cs="Arial"/>
          <w:b/>
          <w:noProof/>
          <w:lang w:val="en-GB"/>
        </w:rPr>
      </w:pPr>
    </w:p>
    <w:p w:rsidR="006B3DC6" w:rsidRDefault="006B3DC6" w14:paraId="601491CB" w14:textId="77777777">
      <w:pPr>
        <w:tabs>
          <w:tab w:val="clear" w:pos="567"/>
          <w:tab w:val="clear" w:pos="1134"/>
          <w:tab w:val="clear" w:pos="1701"/>
          <w:tab w:val="clear" w:pos="2268"/>
        </w:tabs>
        <w:spacing w:before="0"/>
        <w:rPr>
          <w:rFonts w:eastAsiaTheme="majorEastAsia" w:cstheme="majorBidi"/>
          <w:noProof/>
          <w:color w:val="00A3AD"/>
          <w:sz w:val="24"/>
          <w:szCs w:val="24"/>
          <w:highlight w:val="yellow"/>
          <w:lang w:val="en-GB"/>
        </w:rPr>
      </w:pPr>
      <w:r>
        <w:rPr>
          <w:noProof/>
          <w:highlight w:val="yellow"/>
          <w:lang w:val="en-GB"/>
        </w:rPr>
        <w:br w:type="page"/>
      </w:r>
    </w:p>
    <w:p w:rsidRPr="00180367" w:rsidR="00082A8E" w:rsidP="00082A8E" w:rsidRDefault="00082A8E" w14:paraId="57C82AF5" w14:textId="5688FB11">
      <w:pPr>
        <w:pStyle w:val="Heading2"/>
        <w:rPr>
          <w:i/>
          <w:noProof/>
          <w:lang w:val="en-GB"/>
        </w:rPr>
      </w:pPr>
      <w:bookmarkStart w:name="_Ref516656603" w:id="1"/>
      <w:r w:rsidRPr="00E12710">
        <w:rPr>
          <w:noProof/>
          <w:lang w:val="en-GB"/>
        </w:rPr>
        <w:lastRenderedPageBreak/>
        <w:t>B – Standards</w:t>
      </w:r>
      <w:bookmarkEnd w:id="1"/>
      <w:r>
        <w:rPr>
          <w:noProof/>
          <w:lang w:val="en-GB"/>
        </w:rPr>
        <w:t xml:space="preserve">  </w:t>
      </w:r>
    </w:p>
    <w:p w:rsidRPr="00082A8E" w:rsidR="00082A8E" w:rsidP="00082A8E" w:rsidRDefault="00082A8E" w14:paraId="1D10228C" w14:textId="7C54A36D">
      <w:pPr>
        <w:rPr>
          <w:szCs w:val="20"/>
        </w:rPr>
      </w:pPr>
      <w:r w:rsidRPr="00082A8E">
        <w:rPr>
          <w:szCs w:val="20"/>
        </w:rPr>
        <w:t xml:space="preserve">The following standards are adapted from the International Standards for Child Safeguarding developed by </w:t>
      </w:r>
      <w:hyperlink w:history="1" r:id="rId20">
        <w:r w:rsidRPr="001058C1">
          <w:rPr>
            <w:rStyle w:val="Hyperlink"/>
            <w:szCs w:val="20"/>
          </w:rPr>
          <w:t>Keeping Children Safe</w:t>
        </w:r>
      </w:hyperlink>
      <w:r w:rsidRPr="00082A8E">
        <w:rPr>
          <w:szCs w:val="20"/>
        </w:rPr>
        <w:t>. These standards will be used to review implementation of MRF’s Safeguarding Policy and Procedures</w:t>
      </w:r>
      <w:r>
        <w:rPr>
          <w:szCs w:val="20"/>
        </w:rPr>
        <w:t xml:space="preserve"> and for Board approval of new or revised policies and procedures</w:t>
      </w:r>
      <w:r w:rsidRPr="00082A8E">
        <w:rPr>
          <w:szCs w:val="20"/>
        </w:rPr>
        <w:t>.</w:t>
      </w:r>
    </w:p>
    <w:tbl>
      <w:tblPr>
        <w:tblW w:w="8959" w:type="dxa"/>
        <w:tblInd w:w="108" w:type="dxa"/>
        <w:tblBorders>
          <w:top w:val="single" w:color="9C5F95" w:sz="8" w:space="0"/>
          <w:left w:val="single" w:color="auto" w:sz="4" w:space="0"/>
          <w:bottom w:val="single" w:color="9C5F95" w:sz="8" w:space="0"/>
          <w:right w:val="single" w:color="9C5F95" w:sz="8" w:space="0"/>
          <w:insideH w:val="single" w:color="9C5F95" w:sz="8" w:space="0"/>
          <w:insideV w:val="single" w:color="9C5F95" w:sz="8" w:space="0"/>
        </w:tblBorders>
        <w:tblLook w:val="04A0" w:firstRow="1" w:lastRow="0" w:firstColumn="1" w:lastColumn="0" w:noHBand="0" w:noVBand="1"/>
      </w:tblPr>
      <w:tblGrid>
        <w:gridCol w:w="8959"/>
      </w:tblGrid>
      <w:tr w:rsidRPr="00082A8E" w:rsidR="00082A8E" w:rsidTr="00082A8E" w14:paraId="102DAE90" w14:textId="77777777">
        <w:trPr>
          <w:trHeight w:val="540"/>
        </w:trPr>
        <w:tc>
          <w:tcPr>
            <w:tcW w:w="8959" w:type="dxa"/>
            <w:shd w:val="clear" w:color="auto" w:fill="auto"/>
            <w:vAlign w:val="center"/>
            <w:hideMark/>
          </w:tcPr>
          <w:p w:rsidRPr="00082A8E" w:rsidR="00082A8E" w:rsidP="008D3BC7" w:rsidRDefault="00082A8E" w14:paraId="0F0A10A8" w14:textId="77777777">
            <w:pPr>
              <w:ind w:left="49" w:hanging="15"/>
              <w:rPr>
                <w:rFonts w:asciiTheme="minorHAnsi" w:hAnsiTheme="minorHAnsi" w:cstheme="minorHAnsi"/>
                <w:b/>
                <w:bCs/>
                <w:color w:val="000000"/>
                <w:szCs w:val="20"/>
                <w:lang w:eastAsia="en-US"/>
              </w:rPr>
            </w:pPr>
            <w:r w:rsidRPr="00082A8E">
              <w:rPr>
                <w:rFonts w:asciiTheme="minorHAnsi" w:hAnsiTheme="minorHAnsi" w:cstheme="minorHAnsi"/>
                <w:b/>
                <w:bCs/>
                <w:color w:val="000000"/>
                <w:szCs w:val="20"/>
                <w:lang w:eastAsia="en-US"/>
              </w:rPr>
              <w:t>Policy</w:t>
            </w:r>
          </w:p>
        </w:tc>
      </w:tr>
      <w:tr w:rsidRPr="00082A8E" w:rsidR="00082A8E" w:rsidTr="00082A8E" w14:paraId="4CDB5BC9" w14:textId="77777777">
        <w:trPr>
          <w:trHeight w:val="540"/>
        </w:trPr>
        <w:tc>
          <w:tcPr>
            <w:tcW w:w="8959" w:type="dxa"/>
            <w:shd w:val="clear" w:color="auto" w:fill="auto"/>
            <w:vAlign w:val="center"/>
            <w:hideMark/>
          </w:tcPr>
          <w:p w:rsidRPr="00082A8E" w:rsidR="00082A8E" w:rsidP="008D3BC7" w:rsidRDefault="00082A8E" w14:paraId="438E8043" w14:textId="77777777">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The organisation has a written safeguarding/protection policy, approved by the relevant management body, to which all staff and associates (including partners) are required to adhere</w:t>
            </w:r>
          </w:p>
        </w:tc>
      </w:tr>
      <w:tr w:rsidRPr="00082A8E" w:rsidR="00082A8E" w:rsidTr="00082A8E" w14:paraId="0C8FD73D" w14:textId="77777777">
        <w:trPr>
          <w:trHeight w:val="540"/>
        </w:trPr>
        <w:tc>
          <w:tcPr>
            <w:tcW w:w="8959" w:type="dxa"/>
            <w:shd w:val="clear" w:color="auto" w:fill="auto"/>
            <w:vAlign w:val="center"/>
            <w:hideMark/>
          </w:tcPr>
          <w:p w:rsidRPr="00082A8E" w:rsidR="00082A8E" w:rsidP="008D3BC7" w:rsidRDefault="00082A8E" w14:paraId="165D18DF" w14:textId="77777777">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 UN Convention on the Rights of the Child and other Conventions and Guidelines pertaining to children inform the approach of the organisation </w:t>
            </w:r>
          </w:p>
        </w:tc>
      </w:tr>
      <w:tr w:rsidRPr="00082A8E" w:rsidR="00082A8E" w:rsidTr="00082A8E" w14:paraId="2B2160ED" w14:textId="77777777">
        <w:trPr>
          <w:trHeight w:val="540"/>
        </w:trPr>
        <w:tc>
          <w:tcPr>
            <w:tcW w:w="8959" w:type="dxa"/>
            <w:shd w:val="clear" w:color="auto" w:fill="auto"/>
            <w:vAlign w:val="center"/>
            <w:hideMark/>
          </w:tcPr>
          <w:p w:rsidRPr="00082A8E" w:rsidR="00082A8E" w:rsidP="00E524C2" w:rsidRDefault="00082A8E" w14:paraId="054109CB" w14:textId="3D5558A5">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 policy is written </w:t>
            </w:r>
            <w:proofErr w:type="gramStart"/>
            <w:r w:rsidRPr="00082A8E">
              <w:rPr>
                <w:rFonts w:asciiTheme="minorHAnsi" w:hAnsiTheme="minorHAnsi" w:cstheme="minorHAnsi"/>
                <w:color w:val="000000"/>
                <w:szCs w:val="20"/>
                <w:lang w:eastAsia="en-US"/>
              </w:rPr>
              <w:t>in a way that is clear</w:t>
            </w:r>
            <w:proofErr w:type="gramEnd"/>
            <w:r w:rsidRPr="00082A8E">
              <w:rPr>
                <w:rFonts w:asciiTheme="minorHAnsi" w:hAnsiTheme="minorHAnsi" w:cstheme="minorHAnsi"/>
                <w:color w:val="000000"/>
                <w:szCs w:val="20"/>
                <w:lang w:eastAsia="en-US"/>
              </w:rPr>
              <w:t xml:space="preserve"> and easily understandable and is </w:t>
            </w:r>
            <w:proofErr w:type="spellStart"/>
            <w:r w:rsidRPr="00082A8E">
              <w:rPr>
                <w:rFonts w:asciiTheme="minorHAnsi" w:hAnsiTheme="minorHAnsi" w:cstheme="minorHAnsi"/>
                <w:color w:val="000000"/>
                <w:szCs w:val="20"/>
                <w:lang w:eastAsia="en-US"/>
              </w:rPr>
              <w:t>publici</w:t>
            </w:r>
            <w:r>
              <w:rPr>
                <w:rFonts w:asciiTheme="minorHAnsi" w:hAnsiTheme="minorHAnsi" w:cstheme="minorHAnsi"/>
                <w:color w:val="000000"/>
                <w:szCs w:val="20"/>
                <w:lang w:eastAsia="en-US"/>
              </w:rPr>
              <w:t>s</w:t>
            </w:r>
            <w:r w:rsidRPr="00082A8E">
              <w:rPr>
                <w:rFonts w:asciiTheme="minorHAnsi" w:hAnsiTheme="minorHAnsi" w:cstheme="minorHAnsi"/>
                <w:color w:val="000000"/>
                <w:szCs w:val="20"/>
                <w:lang w:eastAsia="en-US"/>
              </w:rPr>
              <w:t>ed</w:t>
            </w:r>
            <w:proofErr w:type="spellEnd"/>
            <w:r w:rsidRPr="00082A8E">
              <w:rPr>
                <w:rFonts w:asciiTheme="minorHAnsi" w:hAnsiTheme="minorHAnsi" w:cstheme="minorHAnsi"/>
                <w:color w:val="000000"/>
                <w:szCs w:val="20"/>
                <w:lang w:eastAsia="en-US"/>
              </w:rPr>
              <w:t>, promoted and distributed widely to all relevant stakeholders</w:t>
            </w:r>
            <w:r w:rsidRPr="006B3DC6">
              <w:rPr>
                <w:rFonts w:asciiTheme="minorHAnsi" w:hAnsiTheme="minorHAnsi" w:cstheme="minorHAnsi"/>
                <w:color w:val="000000"/>
                <w:szCs w:val="20"/>
                <w:lang w:eastAsia="en-US"/>
              </w:rPr>
              <w:t>.</w:t>
            </w:r>
            <w:r w:rsidRPr="00082A8E">
              <w:rPr>
                <w:rFonts w:asciiTheme="minorHAnsi" w:hAnsiTheme="minorHAnsi" w:cstheme="minorHAnsi"/>
                <w:color w:val="000000"/>
                <w:szCs w:val="20"/>
                <w:lang w:eastAsia="en-US"/>
              </w:rPr>
              <w:t xml:space="preserve"> </w:t>
            </w:r>
          </w:p>
        </w:tc>
      </w:tr>
      <w:tr w:rsidRPr="00082A8E" w:rsidR="00082A8E" w:rsidTr="00082A8E" w14:paraId="49771F70" w14:textId="77777777">
        <w:trPr>
          <w:trHeight w:val="800"/>
        </w:trPr>
        <w:tc>
          <w:tcPr>
            <w:tcW w:w="8959" w:type="dxa"/>
            <w:shd w:val="clear" w:color="auto" w:fill="auto"/>
            <w:vAlign w:val="center"/>
            <w:hideMark/>
          </w:tcPr>
          <w:p w:rsidRPr="00082A8E" w:rsidR="00082A8E" w:rsidP="00E524C2" w:rsidRDefault="00082A8E" w14:paraId="3A903612" w14:textId="4D5641C2">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 organisation is clear that </w:t>
            </w:r>
            <w:r w:rsidR="00E524C2">
              <w:rPr>
                <w:rFonts w:asciiTheme="minorHAnsi" w:hAnsiTheme="minorHAnsi" w:cstheme="minorHAnsi"/>
                <w:color w:val="000000"/>
                <w:szCs w:val="20"/>
                <w:lang w:eastAsia="en-US"/>
              </w:rPr>
              <w:t>everyone has an</w:t>
            </w:r>
            <w:r w:rsidRPr="00082A8E">
              <w:rPr>
                <w:rFonts w:asciiTheme="minorHAnsi" w:hAnsiTheme="minorHAnsi" w:cstheme="minorHAnsi"/>
                <w:color w:val="000000"/>
                <w:szCs w:val="20"/>
                <w:lang w:eastAsia="en-US"/>
              </w:rPr>
              <w:t xml:space="preserve"> equal right to protection and that some children</w:t>
            </w:r>
            <w:r w:rsidR="00E524C2">
              <w:rPr>
                <w:rFonts w:asciiTheme="minorHAnsi" w:hAnsiTheme="minorHAnsi" w:cstheme="minorHAnsi"/>
                <w:color w:val="000000"/>
                <w:szCs w:val="20"/>
                <w:lang w:eastAsia="en-US"/>
              </w:rPr>
              <w:t xml:space="preserve"> and adults</w:t>
            </w:r>
            <w:r w:rsidRPr="00082A8E">
              <w:rPr>
                <w:rFonts w:asciiTheme="minorHAnsi" w:hAnsiTheme="minorHAnsi" w:cstheme="minorHAnsi"/>
                <w:color w:val="000000"/>
                <w:szCs w:val="20"/>
                <w:lang w:eastAsia="en-US"/>
              </w:rPr>
              <w:t xml:space="preserve"> face </w:t>
            </w:r>
            <w:proofErr w:type="gramStart"/>
            <w:r w:rsidRPr="00082A8E">
              <w:rPr>
                <w:rFonts w:asciiTheme="minorHAnsi" w:hAnsiTheme="minorHAnsi" w:cstheme="minorHAnsi"/>
                <w:color w:val="000000"/>
                <w:szCs w:val="20"/>
                <w:lang w:eastAsia="en-US"/>
              </w:rPr>
              <w:t>particular risks</w:t>
            </w:r>
            <w:proofErr w:type="gramEnd"/>
            <w:r w:rsidRPr="00082A8E">
              <w:rPr>
                <w:rFonts w:asciiTheme="minorHAnsi" w:hAnsiTheme="minorHAnsi" w:cstheme="minorHAnsi"/>
                <w:color w:val="000000"/>
                <w:szCs w:val="20"/>
                <w:lang w:eastAsia="en-US"/>
              </w:rPr>
              <w:t xml:space="preserve"> and difficulties in getting help, because of their race, gender, age, religion or disability, sexual orientation, social background or culture. </w:t>
            </w:r>
          </w:p>
        </w:tc>
      </w:tr>
      <w:tr w:rsidRPr="00082A8E" w:rsidR="00082A8E" w:rsidTr="00082A8E" w14:paraId="1DE50C00" w14:textId="77777777">
        <w:trPr>
          <w:trHeight w:val="800"/>
        </w:trPr>
        <w:tc>
          <w:tcPr>
            <w:tcW w:w="8959" w:type="dxa"/>
            <w:shd w:val="clear" w:color="auto" w:fill="auto"/>
            <w:vAlign w:val="center"/>
            <w:hideMark/>
          </w:tcPr>
          <w:p w:rsidRPr="00082A8E" w:rsidR="00082A8E" w:rsidP="008D3BC7" w:rsidRDefault="00082A8E" w14:paraId="79FDEFCA" w14:textId="2F24447D">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 policy addresses safeguarding and protection of children and vulnerable adults from harm through misconduct by staff, </w:t>
            </w:r>
            <w:proofErr w:type="gramStart"/>
            <w:r w:rsidRPr="00082A8E">
              <w:rPr>
                <w:rFonts w:asciiTheme="minorHAnsi" w:hAnsiTheme="minorHAnsi" w:cstheme="minorHAnsi"/>
                <w:color w:val="000000"/>
                <w:szCs w:val="20"/>
                <w:lang w:eastAsia="en-US"/>
              </w:rPr>
              <w:t>associates</w:t>
            </w:r>
            <w:proofErr w:type="gramEnd"/>
            <w:r w:rsidRPr="00082A8E">
              <w:rPr>
                <w:rFonts w:asciiTheme="minorHAnsi" w:hAnsiTheme="minorHAnsi" w:cstheme="minorHAnsi"/>
                <w:color w:val="000000"/>
                <w:szCs w:val="20"/>
                <w:lang w:eastAsia="en-US"/>
              </w:rPr>
              <w:t xml:space="preserve"> and others, from poor practice, and from its operational activities where these may harm children </w:t>
            </w:r>
            <w:r w:rsidR="00E524C2">
              <w:rPr>
                <w:rFonts w:asciiTheme="minorHAnsi" w:hAnsiTheme="minorHAnsi" w:cstheme="minorHAnsi"/>
                <w:color w:val="000000"/>
                <w:szCs w:val="20"/>
                <w:lang w:eastAsia="en-US"/>
              </w:rPr>
              <w:t xml:space="preserve">or vulnerable adults </w:t>
            </w:r>
            <w:r w:rsidRPr="00082A8E">
              <w:rPr>
                <w:rFonts w:asciiTheme="minorHAnsi" w:hAnsiTheme="minorHAnsi" w:cstheme="minorHAnsi"/>
                <w:color w:val="000000"/>
                <w:szCs w:val="20"/>
                <w:lang w:eastAsia="en-US"/>
              </w:rPr>
              <w:t xml:space="preserve">or put them at risk </w:t>
            </w:r>
          </w:p>
        </w:tc>
      </w:tr>
      <w:tr w:rsidRPr="00082A8E" w:rsidR="00082A8E" w:rsidTr="00082A8E" w14:paraId="5992FAE3" w14:textId="77777777">
        <w:trPr>
          <w:trHeight w:val="540"/>
        </w:trPr>
        <w:tc>
          <w:tcPr>
            <w:tcW w:w="8959" w:type="dxa"/>
            <w:shd w:val="clear" w:color="auto" w:fill="auto"/>
            <w:vAlign w:val="center"/>
            <w:hideMark/>
          </w:tcPr>
          <w:p w:rsidRPr="00082A8E" w:rsidR="00082A8E" w:rsidP="008D3BC7" w:rsidRDefault="00082A8E" w14:paraId="770A19F6" w14:textId="6DBED749">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The organisation makes clear that ultimate responsibility for ensuring the safety of children</w:t>
            </w:r>
            <w:r w:rsidR="00E524C2">
              <w:rPr>
                <w:rFonts w:asciiTheme="minorHAnsi" w:hAnsiTheme="minorHAnsi" w:cstheme="minorHAnsi"/>
                <w:color w:val="000000"/>
                <w:szCs w:val="20"/>
                <w:lang w:eastAsia="en-US"/>
              </w:rPr>
              <w:t xml:space="preserve"> and vulnerable adults</w:t>
            </w:r>
            <w:r w:rsidRPr="00082A8E">
              <w:rPr>
                <w:rFonts w:asciiTheme="minorHAnsi" w:hAnsiTheme="minorHAnsi" w:cstheme="minorHAnsi"/>
                <w:color w:val="000000"/>
                <w:szCs w:val="20"/>
                <w:lang w:eastAsia="en-US"/>
              </w:rPr>
              <w:t xml:space="preserve"> rests with senior executives (</w:t>
            </w:r>
            <w:r>
              <w:rPr>
                <w:rFonts w:asciiTheme="minorHAnsi" w:hAnsiTheme="minorHAnsi" w:cstheme="minorHAnsi"/>
                <w:color w:val="000000"/>
                <w:szCs w:val="20"/>
                <w:lang w:eastAsia="en-US"/>
              </w:rPr>
              <w:t>Chief Executive</w:t>
            </w:r>
            <w:r w:rsidRPr="00082A8E">
              <w:rPr>
                <w:rFonts w:asciiTheme="minorHAnsi" w:hAnsiTheme="minorHAnsi" w:cstheme="minorHAnsi"/>
                <w:color w:val="000000"/>
                <w:szCs w:val="20"/>
                <w:lang w:eastAsia="en-US"/>
              </w:rPr>
              <w:t xml:space="preserve"> and </w:t>
            </w:r>
            <w:r>
              <w:rPr>
                <w:rFonts w:asciiTheme="minorHAnsi" w:hAnsiTheme="minorHAnsi" w:cstheme="minorHAnsi"/>
                <w:color w:val="000000"/>
                <w:szCs w:val="20"/>
                <w:lang w:eastAsia="en-US"/>
              </w:rPr>
              <w:t>senior managers</w:t>
            </w:r>
            <w:r w:rsidRPr="00082A8E">
              <w:rPr>
                <w:rFonts w:asciiTheme="minorHAnsi" w:hAnsiTheme="minorHAnsi" w:cstheme="minorHAnsi"/>
                <w:color w:val="000000"/>
                <w:szCs w:val="20"/>
                <w:lang w:eastAsia="en-US"/>
              </w:rPr>
              <w:t>) and</w:t>
            </w:r>
            <w:r>
              <w:rPr>
                <w:rFonts w:asciiTheme="minorHAnsi" w:hAnsiTheme="minorHAnsi" w:cstheme="minorHAnsi"/>
                <w:color w:val="000000"/>
                <w:szCs w:val="20"/>
                <w:lang w:eastAsia="en-US"/>
              </w:rPr>
              <w:t xml:space="preserve"> Board</w:t>
            </w:r>
            <w:r w:rsidRPr="00082A8E">
              <w:rPr>
                <w:rFonts w:asciiTheme="minorHAnsi" w:hAnsiTheme="minorHAnsi" w:cstheme="minorHAnsi"/>
                <w:color w:val="000000"/>
                <w:szCs w:val="20"/>
                <w:lang w:eastAsia="en-US"/>
              </w:rPr>
              <w:t xml:space="preserve"> members</w:t>
            </w:r>
          </w:p>
        </w:tc>
      </w:tr>
      <w:tr w:rsidRPr="00082A8E" w:rsidR="00082A8E" w:rsidTr="00082A8E" w14:paraId="4CC6751C" w14:textId="77777777">
        <w:trPr>
          <w:trHeight w:val="540"/>
        </w:trPr>
        <w:tc>
          <w:tcPr>
            <w:tcW w:w="8959" w:type="dxa"/>
            <w:shd w:val="clear" w:color="auto" w:fill="auto"/>
            <w:vAlign w:val="center"/>
            <w:hideMark/>
          </w:tcPr>
          <w:p w:rsidRPr="00082A8E" w:rsidR="00082A8E" w:rsidP="008D3BC7" w:rsidRDefault="00082A8E" w14:paraId="76AFAE81" w14:textId="77777777">
            <w:pPr>
              <w:rPr>
                <w:rFonts w:asciiTheme="minorHAnsi" w:hAnsiTheme="minorHAnsi" w:cstheme="minorHAnsi"/>
                <w:b/>
                <w:bCs/>
                <w:color w:val="000000"/>
                <w:szCs w:val="20"/>
                <w:lang w:eastAsia="en-US"/>
              </w:rPr>
            </w:pPr>
            <w:r w:rsidRPr="00082A8E">
              <w:rPr>
                <w:rFonts w:asciiTheme="minorHAnsi" w:hAnsiTheme="minorHAnsi" w:cstheme="minorHAnsi"/>
                <w:b/>
                <w:bCs/>
                <w:color w:val="000000"/>
                <w:szCs w:val="20"/>
                <w:lang w:eastAsia="en-US"/>
              </w:rPr>
              <w:t>People</w:t>
            </w:r>
          </w:p>
        </w:tc>
      </w:tr>
      <w:tr w:rsidRPr="00082A8E" w:rsidR="00082A8E" w:rsidTr="00082A8E" w14:paraId="1280D800" w14:textId="77777777">
        <w:trPr>
          <w:trHeight w:val="800"/>
        </w:trPr>
        <w:tc>
          <w:tcPr>
            <w:tcW w:w="8959" w:type="dxa"/>
            <w:shd w:val="clear" w:color="auto" w:fill="auto"/>
            <w:vAlign w:val="center"/>
            <w:hideMark/>
          </w:tcPr>
          <w:p w:rsidRPr="00082A8E" w:rsidR="00082A8E" w:rsidP="008C6A95" w:rsidRDefault="00082A8E" w14:paraId="7487A2E3" w14:textId="29A714CC">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There are written guidelines for </w:t>
            </w:r>
            <w:proofErr w:type="spellStart"/>
            <w:r w:rsidRPr="00082A8E">
              <w:rPr>
                <w:rFonts w:asciiTheme="minorHAnsi" w:hAnsiTheme="minorHAnsi" w:cstheme="minorHAnsi"/>
                <w:color w:val="000000"/>
                <w:szCs w:val="20"/>
                <w:lang w:eastAsia="en-US"/>
              </w:rPr>
              <w:t>behaviour</w:t>
            </w:r>
            <w:proofErr w:type="spellEnd"/>
            <w:r w:rsidRPr="00082A8E">
              <w:rPr>
                <w:rFonts w:asciiTheme="minorHAnsi" w:hAnsiTheme="minorHAnsi" w:cstheme="minorHAnsi"/>
                <w:color w:val="000000"/>
                <w:szCs w:val="20"/>
                <w:lang w:eastAsia="en-US"/>
              </w:rPr>
              <w:t xml:space="preserve"> (Code of Conduct) that provide guidance on appropriate/expected standards of </w:t>
            </w:r>
            <w:proofErr w:type="spellStart"/>
            <w:r w:rsidRPr="00082A8E">
              <w:rPr>
                <w:rFonts w:asciiTheme="minorHAnsi" w:hAnsiTheme="minorHAnsi" w:cstheme="minorHAnsi"/>
                <w:color w:val="000000"/>
                <w:szCs w:val="20"/>
                <w:lang w:eastAsia="en-US"/>
              </w:rPr>
              <w:t>behaviour</w:t>
            </w:r>
            <w:proofErr w:type="spellEnd"/>
            <w:r w:rsidRPr="00082A8E">
              <w:rPr>
                <w:rFonts w:asciiTheme="minorHAnsi" w:hAnsiTheme="minorHAnsi" w:cstheme="minorHAnsi"/>
                <w:color w:val="000000"/>
                <w:szCs w:val="20"/>
                <w:lang w:eastAsia="en-US"/>
              </w:rPr>
              <w:t xml:space="preserve"> by staff,</w:t>
            </w:r>
            <w:r w:rsidR="00CC7A55">
              <w:rPr>
                <w:rFonts w:asciiTheme="minorHAnsi" w:hAnsiTheme="minorHAnsi" w:cstheme="minorHAnsi"/>
                <w:color w:val="000000"/>
                <w:szCs w:val="20"/>
                <w:lang w:eastAsia="en-US"/>
              </w:rPr>
              <w:t xml:space="preserve"> </w:t>
            </w:r>
            <w:proofErr w:type="gramStart"/>
            <w:r w:rsidR="00CC7A55">
              <w:rPr>
                <w:rFonts w:asciiTheme="minorHAnsi" w:hAnsiTheme="minorHAnsi" w:cstheme="minorHAnsi"/>
                <w:color w:val="000000"/>
                <w:szCs w:val="20"/>
                <w:lang w:eastAsia="en-US"/>
              </w:rPr>
              <w:t>T</w:t>
            </w:r>
            <w:r w:rsidR="008C6A95">
              <w:rPr>
                <w:rFonts w:asciiTheme="minorHAnsi" w:hAnsiTheme="minorHAnsi" w:cstheme="minorHAnsi"/>
                <w:color w:val="000000"/>
                <w:szCs w:val="20"/>
                <w:lang w:eastAsia="en-US"/>
              </w:rPr>
              <w:t>rustees</w:t>
            </w:r>
            <w:proofErr w:type="gramEnd"/>
            <w:r w:rsidR="008C6A95">
              <w:rPr>
                <w:rFonts w:asciiTheme="minorHAnsi" w:hAnsiTheme="minorHAnsi" w:cstheme="minorHAnsi"/>
                <w:color w:val="000000"/>
                <w:szCs w:val="20"/>
                <w:lang w:eastAsia="en-US"/>
              </w:rPr>
              <w:t xml:space="preserve"> and</w:t>
            </w:r>
            <w:r w:rsidRPr="00082A8E">
              <w:rPr>
                <w:rFonts w:asciiTheme="minorHAnsi" w:hAnsiTheme="minorHAnsi" w:cstheme="minorHAnsi"/>
                <w:color w:val="000000"/>
                <w:szCs w:val="20"/>
                <w:lang w:eastAsia="en-US"/>
              </w:rPr>
              <w:t xml:space="preserve"> volunteers </w:t>
            </w:r>
          </w:p>
        </w:tc>
      </w:tr>
      <w:tr w:rsidRPr="00082A8E" w:rsidR="00082A8E" w:rsidTr="00082A8E" w14:paraId="23878F9C" w14:textId="77777777">
        <w:trPr>
          <w:trHeight w:val="1060"/>
        </w:trPr>
        <w:tc>
          <w:tcPr>
            <w:tcW w:w="8959" w:type="dxa"/>
            <w:shd w:val="clear" w:color="auto" w:fill="auto"/>
            <w:vAlign w:val="center"/>
            <w:hideMark/>
          </w:tcPr>
          <w:p w:rsidRPr="00082A8E" w:rsidR="00082A8E" w:rsidP="00CC7A55" w:rsidRDefault="00082A8E" w14:paraId="73EB4373" w14:textId="09D595CD">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All members of staff, volunteers and </w:t>
            </w:r>
            <w:r w:rsidR="008C6A95">
              <w:rPr>
                <w:rFonts w:asciiTheme="minorHAnsi" w:hAnsiTheme="minorHAnsi" w:cstheme="minorHAnsi"/>
                <w:color w:val="000000"/>
                <w:szCs w:val="20"/>
                <w:lang w:eastAsia="en-US"/>
              </w:rPr>
              <w:t xml:space="preserve">relevant </w:t>
            </w:r>
            <w:r w:rsidRPr="00082A8E">
              <w:rPr>
                <w:rFonts w:asciiTheme="minorHAnsi" w:hAnsiTheme="minorHAnsi" w:cstheme="minorHAnsi"/>
                <w:color w:val="000000"/>
                <w:szCs w:val="20"/>
                <w:lang w:eastAsia="en-US"/>
              </w:rPr>
              <w:t>associates have training on safeguarding and protection which includes an introduction to the organisation’s safeguarding policy and procedures and learning on how to recognise and respond to concerns about abuse</w:t>
            </w:r>
          </w:p>
        </w:tc>
      </w:tr>
      <w:tr w:rsidRPr="00082A8E" w:rsidR="00082A8E" w:rsidTr="00082A8E" w14:paraId="00B4659D" w14:textId="77777777">
        <w:trPr>
          <w:trHeight w:val="540"/>
        </w:trPr>
        <w:tc>
          <w:tcPr>
            <w:tcW w:w="8959" w:type="dxa"/>
            <w:shd w:val="clear" w:color="auto" w:fill="auto"/>
            <w:vAlign w:val="center"/>
            <w:hideMark/>
          </w:tcPr>
          <w:p w:rsidRPr="00082A8E" w:rsidR="00082A8E" w:rsidP="008D3BC7" w:rsidRDefault="00082A8E" w14:paraId="229D1ED4" w14:textId="77777777">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 organisation is open and aware when it comes to safeguarding and protection matters such that issues can be easily identified, </w:t>
            </w:r>
            <w:proofErr w:type="gramStart"/>
            <w:r w:rsidRPr="00082A8E">
              <w:rPr>
                <w:rFonts w:asciiTheme="minorHAnsi" w:hAnsiTheme="minorHAnsi" w:cstheme="minorHAnsi"/>
                <w:color w:val="000000"/>
                <w:szCs w:val="20"/>
                <w:lang w:eastAsia="en-US"/>
              </w:rPr>
              <w:t>raised</w:t>
            </w:r>
            <w:proofErr w:type="gramEnd"/>
            <w:r w:rsidRPr="00082A8E">
              <w:rPr>
                <w:rFonts w:asciiTheme="minorHAnsi" w:hAnsiTheme="minorHAnsi" w:cstheme="minorHAnsi"/>
                <w:color w:val="000000"/>
                <w:szCs w:val="20"/>
                <w:lang w:eastAsia="en-US"/>
              </w:rPr>
              <w:t xml:space="preserve"> and discussed</w:t>
            </w:r>
          </w:p>
        </w:tc>
      </w:tr>
      <w:tr w:rsidRPr="00082A8E" w:rsidR="00082A8E" w:rsidTr="00082A8E" w14:paraId="6F590F6A" w14:textId="77777777">
        <w:trPr>
          <w:trHeight w:val="800"/>
        </w:trPr>
        <w:tc>
          <w:tcPr>
            <w:tcW w:w="8959" w:type="dxa"/>
            <w:shd w:val="clear" w:color="auto" w:fill="auto"/>
            <w:vAlign w:val="center"/>
            <w:hideMark/>
          </w:tcPr>
          <w:p w:rsidRPr="00082A8E" w:rsidR="00A5112C" w:rsidP="008D3BC7" w:rsidRDefault="00082A8E" w14:paraId="23AAED29" w14:textId="251BC52E">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Children and other service users are made aware of their right to be safe from abuse and are provided with advice and support on keeping themselves safe including information for children, parents/</w:t>
            </w:r>
            <w:proofErr w:type="gramStart"/>
            <w:r w:rsidRPr="00082A8E">
              <w:rPr>
                <w:rFonts w:asciiTheme="minorHAnsi" w:hAnsiTheme="minorHAnsi" w:cstheme="minorHAnsi"/>
                <w:color w:val="000000"/>
                <w:szCs w:val="20"/>
                <w:lang w:eastAsia="en-US"/>
              </w:rPr>
              <w:t>carers</w:t>
            </w:r>
            <w:proofErr w:type="gramEnd"/>
            <w:r w:rsidR="008C6A95">
              <w:rPr>
                <w:rFonts w:asciiTheme="minorHAnsi" w:hAnsiTheme="minorHAnsi" w:cstheme="minorHAnsi"/>
                <w:color w:val="000000"/>
                <w:szCs w:val="20"/>
                <w:lang w:eastAsia="en-US"/>
              </w:rPr>
              <w:t xml:space="preserve"> and vulnerable adults</w:t>
            </w:r>
            <w:r w:rsidRPr="00082A8E">
              <w:rPr>
                <w:rFonts w:asciiTheme="minorHAnsi" w:hAnsiTheme="minorHAnsi" w:cstheme="minorHAnsi"/>
                <w:color w:val="000000"/>
                <w:szCs w:val="20"/>
                <w:lang w:eastAsia="en-US"/>
              </w:rPr>
              <w:t xml:space="preserve"> about where to go for help </w:t>
            </w:r>
          </w:p>
        </w:tc>
      </w:tr>
      <w:tr w:rsidRPr="00082A8E" w:rsidR="003C4E37" w:rsidTr="00082A8E" w14:paraId="1DC35DDE" w14:textId="77777777">
        <w:trPr>
          <w:trHeight w:val="1060"/>
        </w:trPr>
        <w:tc>
          <w:tcPr>
            <w:tcW w:w="8959" w:type="dxa"/>
            <w:shd w:val="clear" w:color="auto" w:fill="auto"/>
            <w:vAlign w:val="center"/>
            <w:hideMark/>
          </w:tcPr>
          <w:p w:rsidRPr="00082A8E" w:rsidR="003C4E37" w:rsidP="008D3BC7" w:rsidRDefault="003C4E37" w14:paraId="51D61A7F" w14:textId="00D0BDD4">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lastRenderedPageBreak/>
              <w:t>The organisation designates key people at different levels (including at Director level) with c</w:t>
            </w:r>
            <w:r w:rsidR="00CC7A55">
              <w:rPr>
                <w:rFonts w:asciiTheme="minorHAnsi" w:hAnsiTheme="minorHAnsi" w:cstheme="minorHAnsi"/>
                <w:color w:val="000000"/>
                <w:szCs w:val="20"/>
                <w:lang w:eastAsia="en-US"/>
              </w:rPr>
              <w:t>learly defined responsibilities</w:t>
            </w:r>
            <w:r w:rsidRPr="00082A8E">
              <w:rPr>
                <w:rFonts w:asciiTheme="minorHAnsi" w:hAnsiTheme="minorHAnsi" w:cstheme="minorHAnsi"/>
                <w:color w:val="000000"/>
                <w:szCs w:val="20"/>
                <w:lang w:eastAsia="en-US"/>
              </w:rPr>
              <w:t xml:space="preserve"> to champion, support and communicate on safeguarding and protection and for effective operation of the child safeguarding/protection policy</w:t>
            </w:r>
          </w:p>
        </w:tc>
      </w:tr>
      <w:tr w:rsidRPr="00082A8E" w:rsidR="003C4E37" w:rsidTr="00082A8E" w14:paraId="5AC76060" w14:textId="77777777">
        <w:trPr>
          <w:trHeight w:val="800"/>
        </w:trPr>
        <w:tc>
          <w:tcPr>
            <w:tcW w:w="8959" w:type="dxa"/>
            <w:shd w:val="clear" w:color="auto" w:fill="auto"/>
            <w:vAlign w:val="center"/>
            <w:hideMark/>
          </w:tcPr>
          <w:p w:rsidRPr="00082A8E" w:rsidR="003C4E37" w:rsidP="00CC7A55" w:rsidRDefault="003C4E37" w14:paraId="27008A53" w14:textId="0E88685C">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There are clear procedures in place that provide step-by-step guidance on how to report safely and what action to take if the Code of Conduct is breache</w:t>
            </w:r>
            <w:r w:rsidR="00CC7A55">
              <w:rPr>
                <w:rFonts w:asciiTheme="minorHAnsi" w:hAnsiTheme="minorHAnsi" w:cstheme="minorHAnsi"/>
                <w:color w:val="000000"/>
                <w:szCs w:val="20"/>
                <w:lang w:eastAsia="en-US"/>
              </w:rPr>
              <w:t xml:space="preserve">d and there are concerns about </w:t>
            </w:r>
            <w:proofErr w:type="gramStart"/>
            <w:r w:rsidR="00CC7A55">
              <w:rPr>
                <w:rFonts w:asciiTheme="minorHAnsi" w:hAnsiTheme="minorHAnsi" w:cstheme="minorHAnsi"/>
                <w:color w:val="000000"/>
                <w:szCs w:val="20"/>
                <w:lang w:eastAsia="en-US"/>
              </w:rPr>
              <w:t>the</w:t>
            </w:r>
            <w:r w:rsidRPr="00082A8E">
              <w:rPr>
                <w:rFonts w:asciiTheme="minorHAnsi" w:hAnsiTheme="minorHAnsi" w:cstheme="minorHAnsi"/>
                <w:color w:val="000000"/>
                <w:szCs w:val="20"/>
                <w:lang w:eastAsia="en-US"/>
              </w:rPr>
              <w:t xml:space="preserve">  safety</w:t>
            </w:r>
            <w:proofErr w:type="gramEnd"/>
            <w:r w:rsidRPr="00082A8E">
              <w:rPr>
                <w:rFonts w:asciiTheme="minorHAnsi" w:hAnsiTheme="minorHAnsi" w:cstheme="minorHAnsi"/>
                <w:color w:val="000000"/>
                <w:szCs w:val="20"/>
                <w:lang w:eastAsia="en-US"/>
              </w:rPr>
              <w:t xml:space="preserve"> or well</w:t>
            </w:r>
            <w:r w:rsidR="00CC7A55">
              <w:rPr>
                <w:rFonts w:asciiTheme="minorHAnsi" w:hAnsiTheme="minorHAnsi" w:cstheme="minorHAnsi"/>
                <w:color w:val="000000"/>
                <w:szCs w:val="20"/>
                <w:lang w:eastAsia="en-US"/>
              </w:rPr>
              <w:t>being</w:t>
            </w:r>
            <w:r w:rsidRPr="00082A8E">
              <w:rPr>
                <w:rFonts w:asciiTheme="minorHAnsi" w:hAnsiTheme="minorHAnsi" w:cstheme="minorHAnsi"/>
                <w:color w:val="000000"/>
                <w:szCs w:val="20"/>
                <w:lang w:eastAsia="en-US"/>
              </w:rPr>
              <w:t xml:space="preserve"> of a </w:t>
            </w:r>
            <w:r w:rsidR="00CC7A55">
              <w:rPr>
                <w:rFonts w:asciiTheme="minorHAnsi" w:hAnsiTheme="minorHAnsi" w:cstheme="minorHAnsi"/>
                <w:color w:val="000000"/>
                <w:szCs w:val="20"/>
                <w:lang w:eastAsia="en-US"/>
              </w:rPr>
              <w:t xml:space="preserve">child or a </w:t>
            </w:r>
            <w:r w:rsidRPr="00082A8E">
              <w:rPr>
                <w:rFonts w:asciiTheme="minorHAnsi" w:hAnsiTheme="minorHAnsi" w:cstheme="minorHAnsi"/>
                <w:color w:val="000000"/>
                <w:szCs w:val="20"/>
                <w:lang w:eastAsia="en-US"/>
              </w:rPr>
              <w:t>vulnerable adult</w:t>
            </w:r>
          </w:p>
        </w:tc>
      </w:tr>
      <w:tr w:rsidRPr="00082A8E" w:rsidR="003C4E37" w:rsidTr="00082A8E" w14:paraId="53963822" w14:textId="77777777">
        <w:trPr>
          <w:trHeight w:val="800"/>
        </w:trPr>
        <w:tc>
          <w:tcPr>
            <w:tcW w:w="8959" w:type="dxa"/>
            <w:shd w:val="clear" w:color="auto" w:fill="auto"/>
            <w:vAlign w:val="center"/>
          </w:tcPr>
          <w:p w:rsidRPr="00082A8E" w:rsidR="003C4E37" w:rsidP="003C4E37" w:rsidRDefault="003C4E37" w14:paraId="1B02C041" w14:textId="1764A0ED">
            <w:pPr>
              <w:rPr>
                <w:rFonts w:asciiTheme="minorHAnsi" w:hAnsiTheme="minorHAnsi" w:cstheme="minorHAnsi"/>
                <w:color w:val="000000"/>
                <w:szCs w:val="20"/>
                <w:lang w:eastAsia="en-US"/>
              </w:rPr>
            </w:pPr>
            <w:r w:rsidRPr="00082A8E">
              <w:rPr>
                <w:rFonts w:asciiTheme="minorHAnsi" w:hAnsiTheme="minorHAnsi" w:cstheme="minorHAnsi"/>
                <w:b/>
                <w:bCs/>
                <w:color w:val="000000"/>
                <w:szCs w:val="20"/>
                <w:lang w:eastAsia="en-US"/>
              </w:rPr>
              <w:t>Procedures</w:t>
            </w:r>
          </w:p>
        </w:tc>
      </w:tr>
      <w:tr w:rsidRPr="00082A8E" w:rsidR="003C4E37" w:rsidTr="00082A8E" w14:paraId="0E709C1D" w14:textId="77777777">
        <w:trPr>
          <w:trHeight w:val="800"/>
        </w:trPr>
        <w:tc>
          <w:tcPr>
            <w:tcW w:w="8959" w:type="dxa"/>
            <w:shd w:val="clear" w:color="auto" w:fill="auto"/>
            <w:vAlign w:val="center"/>
          </w:tcPr>
          <w:p w:rsidRPr="00082A8E" w:rsidR="003C4E37" w:rsidP="003C4E37" w:rsidRDefault="003C4E37" w14:paraId="6A02F4A7" w14:textId="0A7E60DE">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 organisation requires local mapping exercises to be carried out that </w:t>
            </w:r>
            <w:proofErr w:type="spellStart"/>
            <w:r w:rsidRPr="00082A8E">
              <w:rPr>
                <w:rFonts w:asciiTheme="minorHAnsi" w:hAnsiTheme="minorHAnsi" w:cstheme="minorHAnsi"/>
                <w:color w:val="000000"/>
                <w:szCs w:val="20"/>
                <w:lang w:eastAsia="en-US"/>
              </w:rPr>
              <w:t>analyse</w:t>
            </w:r>
            <w:proofErr w:type="spellEnd"/>
            <w:r w:rsidRPr="00082A8E">
              <w:rPr>
                <w:rFonts w:asciiTheme="minorHAnsi" w:hAnsiTheme="minorHAnsi" w:cstheme="minorHAnsi"/>
                <w:color w:val="000000"/>
                <w:szCs w:val="20"/>
                <w:lang w:eastAsia="en-US"/>
              </w:rPr>
              <w:t xml:space="preserve"> the legal, social welfare and child protection arrangements in the contexts in which it works</w:t>
            </w:r>
          </w:p>
        </w:tc>
      </w:tr>
      <w:tr w:rsidRPr="00082A8E" w:rsidR="003C4E37" w:rsidTr="00082A8E" w14:paraId="63F21202" w14:textId="77777777">
        <w:trPr>
          <w:trHeight w:val="800"/>
        </w:trPr>
        <w:tc>
          <w:tcPr>
            <w:tcW w:w="8959" w:type="dxa"/>
            <w:shd w:val="clear" w:color="auto" w:fill="auto"/>
            <w:vAlign w:val="center"/>
          </w:tcPr>
          <w:p w:rsidRPr="00082A8E" w:rsidR="003C4E37" w:rsidP="003C4E37" w:rsidRDefault="003C4E37" w14:paraId="55A2DC81" w14:textId="774AC938">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There is an appropriate process for reporting and responding to </w:t>
            </w:r>
            <w:r w:rsidR="00F767DB">
              <w:rPr>
                <w:rFonts w:asciiTheme="minorHAnsi" w:hAnsiTheme="minorHAnsi" w:cstheme="minorHAnsi"/>
                <w:color w:val="000000"/>
                <w:szCs w:val="20"/>
                <w:lang w:eastAsia="en-US"/>
              </w:rPr>
              <w:t>safeguarding/</w:t>
            </w:r>
            <w:r w:rsidRPr="00082A8E">
              <w:rPr>
                <w:rFonts w:asciiTheme="minorHAnsi" w:hAnsiTheme="minorHAnsi" w:cstheme="minorHAnsi"/>
                <w:color w:val="000000"/>
                <w:szCs w:val="20"/>
                <w:lang w:eastAsia="en-US"/>
              </w:rPr>
              <w:t>protection incidents and concerns that fits with the local systems for dealing with incidents of abuse (as identified in the mapping exercise)</w:t>
            </w:r>
          </w:p>
        </w:tc>
      </w:tr>
      <w:tr w:rsidRPr="00082A8E" w:rsidR="003C4E37" w:rsidTr="00082A8E" w14:paraId="628C0998" w14:textId="77777777">
        <w:trPr>
          <w:trHeight w:val="800"/>
        </w:trPr>
        <w:tc>
          <w:tcPr>
            <w:tcW w:w="8959" w:type="dxa"/>
            <w:shd w:val="clear" w:color="auto" w:fill="auto"/>
            <w:vAlign w:val="center"/>
          </w:tcPr>
          <w:p w:rsidRPr="00082A8E" w:rsidR="003C4E37" w:rsidP="00F767DB" w:rsidRDefault="003C4E37" w14:paraId="05066CE4" w14:textId="7ACA3CEF">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The identification and mitigation of safeguarding and protection risks is incorporated into risk assessment processes at all levels, i.e. from identification of corporate risks</w:t>
            </w:r>
            <w:r w:rsidR="00F767DB">
              <w:rPr>
                <w:rFonts w:asciiTheme="minorHAnsi" w:hAnsiTheme="minorHAnsi" w:cstheme="minorHAnsi"/>
                <w:color w:val="000000"/>
                <w:szCs w:val="20"/>
                <w:lang w:eastAsia="en-US"/>
              </w:rPr>
              <w:t xml:space="preserve"> (organisational Risk Register)</w:t>
            </w:r>
            <w:r w:rsidRPr="00082A8E">
              <w:rPr>
                <w:rFonts w:asciiTheme="minorHAnsi" w:hAnsiTheme="minorHAnsi" w:cstheme="minorHAnsi"/>
                <w:color w:val="000000"/>
                <w:szCs w:val="20"/>
                <w:lang w:eastAsia="en-US"/>
              </w:rPr>
              <w:t xml:space="preserve"> through to planning an activity involving or impacting on children</w:t>
            </w:r>
            <w:r>
              <w:rPr>
                <w:rFonts w:asciiTheme="minorHAnsi" w:hAnsiTheme="minorHAnsi" w:cstheme="minorHAnsi"/>
                <w:color w:val="000000"/>
                <w:szCs w:val="20"/>
                <w:lang w:eastAsia="en-US"/>
              </w:rPr>
              <w:t xml:space="preserve"> or vulnerable adults</w:t>
            </w:r>
            <w:r w:rsidR="00F767DB">
              <w:rPr>
                <w:rFonts w:asciiTheme="minorHAnsi" w:hAnsiTheme="minorHAnsi" w:cstheme="minorHAnsi"/>
                <w:color w:val="000000"/>
                <w:szCs w:val="20"/>
                <w:lang w:eastAsia="en-US"/>
              </w:rPr>
              <w:t xml:space="preserve"> (using a risk assessment form)</w:t>
            </w:r>
          </w:p>
        </w:tc>
      </w:tr>
      <w:tr w:rsidRPr="00082A8E" w:rsidR="003C4E37" w:rsidTr="00082A8E" w14:paraId="2E46D1E8" w14:textId="77777777">
        <w:trPr>
          <w:trHeight w:val="800"/>
        </w:trPr>
        <w:tc>
          <w:tcPr>
            <w:tcW w:w="8959" w:type="dxa"/>
            <w:shd w:val="clear" w:color="auto" w:fill="auto"/>
            <w:vAlign w:val="center"/>
          </w:tcPr>
          <w:p w:rsidRPr="00082A8E" w:rsidR="003C4E37" w:rsidP="003C4E37" w:rsidRDefault="003C4E37" w14:paraId="3C1C8C80" w14:textId="6A2FA29D">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Adequate human and financial resources are made available to support development and implementation of safeguarding and protection measures</w:t>
            </w:r>
          </w:p>
        </w:tc>
      </w:tr>
      <w:tr w:rsidRPr="00082A8E" w:rsidR="003C4E37" w:rsidTr="00082A8E" w14:paraId="3C53977F" w14:textId="77777777">
        <w:trPr>
          <w:trHeight w:val="800"/>
        </w:trPr>
        <w:tc>
          <w:tcPr>
            <w:tcW w:w="8959" w:type="dxa"/>
            <w:shd w:val="clear" w:color="auto" w:fill="auto"/>
            <w:vAlign w:val="center"/>
          </w:tcPr>
          <w:p w:rsidR="003C4E37" w:rsidP="00516FF1" w:rsidRDefault="003C4E37" w14:paraId="37CFE6BD" w14:textId="77777777">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A range of policies, procedures and good practice guidance exist, relevant to the nature of the organisation and its operations, that describe how </w:t>
            </w:r>
            <w:proofErr w:type="gramStart"/>
            <w:r w:rsidRPr="00082A8E">
              <w:rPr>
                <w:rFonts w:asciiTheme="minorHAnsi" w:hAnsiTheme="minorHAnsi" w:cstheme="minorHAnsi"/>
                <w:color w:val="000000"/>
                <w:szCs w:val="20"/>
                <w:lang w:eastAsia="en-US"/>
              </w:rPr>
              <w:t>safeguarding</w:t>
            </w:r>
            <w:proofErr w:type="gramEnd"/>
            <w:r w:rsidRPr="00082A8E">
              <w:rPr>
                <w:rFonts w:asciiTheme="minorHAnsi" w:hAnsiTheme="minorHAnsi" w:cstheme="minorHAnsi"/>
                <w:color w:val="000000"/>
                <w:szCs w:val="20"/>
                <w:lang w:eastAsia="en-US"/>
              </w:rPr>
              <w:t xml:space="preserve"> and protection is to be achieved through systems and processes such as programming, risk management, media and communications, ICT, fundraising, sponsorship, working with partners </w:t>
            </w:r>
            <w:r w:rsidR="00516FF1">
              <w:rPr>
                <w:rFonts w:asciiTheme="minorHAnsi" w:hAnsiTheme="minorHAnsi" w:cstheme="minorHAnsi"/>
                <w:color w:val="000000"/>
                <w:szCs w:val="20"/>
                <w:lang w:eastAsia="en-US"/>
              </w:rPr>
              <w:t>etc.</w:t>
            </w:r>
          </w:p>
          <w:p w:rsidRPr="00082A8E" w:rsidR="00516FF1" w:rsidP="00516FF1" w:rsidRDefault="00516FF1" w14:paraId="1A514F15" w14:textId="3AFB1E2D">
            <w:pPr>
              <w:rPr>
                <w:rFonts w:asciiTheme="minorHAnsi" w:hAnsiTheme="minorHAnsi" w:cstheme="minorHAnsi"/>
                <w:color w:val="000000"/>
                <w:szCs w:val="20"/>
                <w:lang w:eastAsia="en-US"/>
              </w:rPr>
            </w:pPr>
          </w:p>
        </w:tc>
      </w:tr>
      <w:tr w:rsidRPr="00082A8E" w:rsidR="003C4E37" w:rsidTr="00082A8E" w14:paraId="7CD4AF05" w14:textId="77777777">
        <w:trPr>
          <w:trHeight w:val="800"/>
        </w:trPr>
        <w:tc>
          <w:tcPr>
            <w:tcW w:w="8959" w:type="dxa"/>
            <w:shd w:val="clear" w:color="auto" w:fill="auto"/>
            <w:vAlign w:val="center"/>
          </w:tcPr>
          <w:p w:rsidR="003C4E37" w:rsidP="003C4E37" w:rsidRDefault="003C4E37" w14:paraId="4EC16982" w14:textId="7EAC51E9">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Safeguards are integrated with</w:t>
            </w:r>
            <w:r w:rsidR="00516FF1">
              <w:rPr>
                <w:rFonts w:asciiTheme="minorHAnsi" w:hAnsiTheme="minorHAnsi" w:cstheme="minorHAnsi"/>
                <w:color w:val="000000"/>
                <w:szCs w:val="20"/>
                <w:lang w:eastAsia="en-US"/>
              </w:rPr>
              <w:t>,</w:t>
            </w:r>
            <w:r w:rsidRPr="00082A8E">
              <w:rPr>
                <w:rFonts w:asciiTheme="minorHAnsi" w:hAnsiTheme="minorHAnsi" w:cstheme="minorHAnsi"/>
                <w:color w:val="000000"/>
                <w:szCs w:val="20"/>
                <w:lang w:eastAsia="en-US"/>
              </w:rPr>
              <w:t xml:space="preserve"> and actively managed into</w:t>
            </w:r>
            <w:r w:rsidR="00516FF1">
              <w:rPr>
                <w:rFonts w:asciiTheme="minorHAnsi" w:hAnsiTheme="minorHAnsi" w:cstheme="minorHAnsi"/>
                <w:color w:val="000000"/>
                <w:szCs w:val="20"/>
                <w:lang w:eastAsia="en-US"/>
              </w:rPr>
              <w:t>,</w:t>
            </w:r>
            <w:r w:rsidRPr="00082A8E">
              <w:rPr>
                <w:rFonts w:asciiTheme="minorHAnsi" w:hAnsiTheme="minorHAnsi" w:cstheme="minorHAnsi"/>
                <w:color w:val="000000"/>
                <w:szCs w:val="20"/>
                <w:lang w:eastAsia="en-US"/>
              </w:rPr>
              <w:t xml:space="preserve"> existing business processes and systems (strategic planning, budgeting, recruitment, programme cycle management, performance management, procurement, etc.) to ensure safeguarding and protection of children and vulnerable adults are a feature of all key aspects of </w:t>
            </w:r>
            <w:proofErr w:type="gramStart"/>
            <w:r w:rsidRPr="00082A8E">
              <w:rPr>
                <w:rFonts w:asciiTheme="minorHAnsi" w:hAnsiTheme="minorHAnsi" w:cstheme="minorHAnsi"/>
                <w:color w:val="000000"/>
                <w:szCs w:val="20"/>
                <w:lang w:eastAsia="en-US"/>
              </w:rPr>
              <w:t>operations</w:t>
            </w:r>
            <w:proofErr w:type="gramEnd"/>
          </w:p>
          <w:p w:rsidRPr="00082A8E" w:rsidR="00516FF1" w:rsidP="003C4E37" w:rsidRDefault="00516FF1" w14:paraId="6AD15C74" w14:textId="4715647E">
            <w:pPr>
              <w:rPr>
                <w:rFonts w:asciiTheme="minorHAnsi" w:hAnsiTheme="minorHAnsi" w:cstheme="minorHAnsi"/>
                <w:color w:val="000000"/>
                <w:szCs w:val="20"/>
                <w:lang w:eastAsia="en-US"/>
              </w:rPr>
            </w:pPr>
          </w:p>
        </w:tc>
      </w:tr>
      <w:tr w:rsidRPr="00082A8E" w:rsidR="003C4E37" w:rsidTr="00082A8E" w14:paraId="45C05853" w14:textId="77777777">
        <w:trPr>
          <w:trHeight w:val="800"/>
        </w:trPr>
        <w:tc>
          <w:tcPr>
            <w:tcW w:w="8959" w:type="dxa"/>
            <w:shd w:val="clear" w:color="auto" w:fill="auto"/>
            <w:vAlign w:val="center"/>
          </w:tcPr>
          <w:p w:rsidRPr="00082A8E" w:rsidR="003C4E37" w:rsidP="003C4E37" w:rsidRDefault="003C4E37" w14:paraId="11F3819E" w14:textId="1ABD18C2">
            <w:pPr>
              <w:rPr>
                <w:rFonts w:asciiTheme="minorHAnsi" w:hAnsiTheme="minorHAnsi" w:cstheme="minorHAnsi"/>
                <w:color w:val="000000"/>
                <w:szCs w:val="20"/>
                <w:lang w:eastAsia="en-US"/>
              </w:rPr>
            </w:pPr>
            <w:r w:rsidRPr="00082A8E">
              <w:rPr>
                <w:rFonts w:asciiTheme="minorHAnsi" w:hAnsiTheme="minorHAnsi" w:cstheme="minorHAnsi"/>
                <w:b/>
                <w:bCs/>
                <w:color w:val="000000"/>
                <w:szCs w:val="20"/>
                <w:lang w:eastAsia="en-US"/>
              </w:rPr>
              <w:t xml:space="preserve">Accountability </w:t>
            </w:r>
          </w:p>
        </w:tc>
      </w:tr>
      <w:tr w:rsidRPr="00082A8E" w:rsidR="003C4E37" w:rsidTr="00082A8E" w14:paraId="6F2008B3" w14:textId="77777777">
        <w:trPr>
          <w:trHeight w:val="800"/>
        </w:trPr>
        <w:tc>
          <w:tcPr>
            <w:tcW w:w="8959" w:type="dxa"/>
            <w:shd w:val="clear" w:color="auto" w:fill="auto"/>
            <w:vAlign w:val="center"/>
          </w:tcPr>
          <w:p w:rsidRPr="00082A8E" w:rsidR="003C4E37" w:rsidP="003C4E37" w:rsidRDefault="003C4E37" w14:paraId="20AB8528" w14:textId="1F9C2B20">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Arrangements are in place to monitor compliance with</w:t>
            </w:r>
            <w:r w:rsidR="007C5967">
              <w:rPr>
                <w:rFonts w:asciiTheme="minorHAnsi" w:hAnsiTheme="minorHAnsi" w:cstheme="minorHAnsi"/>
                <w:color w:val="000000"/>
                <w:szCs w:val="20"/>
                <w:lang w:eastAsia="en-US"/>
              </w:rPr>
              <w:t>,</w:t>
            </w:r>
            <w:r w:rsidRPr="00082A8E">
              <w:rPr>
                <w:rFonts w:asciiTheme="minorHAnsi" w:hAnsiTheme="minorHAnsi" w:cstheme="minorHAnsi"/>
                <w:color w:val="000000"/>
                <w:szCs w:val="20"/>
                <w:lang w:eastAsia="en-US"/>
              </w:rPr>
              <w:t xml:space="preserve"> and implementation of</w:t>
            </w:r>
            <w:r w:rsidR="007C5967">
              <w:rPr>
                <w:rFonts w:asciiTheme="minorHAnsi" w:hAnsiTheme="minorHAnsi" w:cstheme="minorHAnsi"/>
                <w:color w:val="000000"/>
                <w:szCs w:val="20"/>
                <w:lang w:eastAsia="en-US"/>
              </w:rPr>
              <w:t>,</w:t>
            </w:r>
            <w:r w:rsidRPr="00082A8E">
              <w:rPr>
                <w:rFonts w:asciiTheme="minorHAnsi" w:hAnsiTheme="minorHAnsi" w:cstheme="minorHAnsi"/>
                <w:color w:val="000000"/>
                <w:szCs w:val="20"/>
                <w:lang w:eastAsia="en-US"/>
              </w:rPr>
              <w:t xml:space="preserve"> the safeguarding policies and procedures through specific measures and/or integration into existing systems for quality assurance, risk management, audit, </w:t>
            </w:r>
            <w:proofErr w:type="gramStart"/>
            <w:r w:rsidRPr="00082A8E">
              <w:rPr>
                <w:rFonts w:asciiTheme="minorHAnsi" w:hAnsiTheme="minorHAnsi" w:cstheme="minorHAnsi"/>
                <w:color w:val="000000"/>
                <w:szCs w:val="20"/>
                <w:lang w:eastAsia="en-US"/>
              </w:rPr>
              <w:t>monitoring</w:t>
            </w:r>
            <w:proofErr w:type="gramEnd"/>
            <w:r w:rsidRPr="00082A8E">
              <w:rPr>
                <w:rFonts w:asciiTheme="minorHAnsi" w:hAnsiTheme="minorHAnsi" w:cstheme="minorHAnsi"/>
                <w:color w:val="000000"/>
                <w:szCs w:val="20"/>
                <w:lang w:eastAsia="en-US"/>
              </w:rPr>
              <w:t xml:space="preserve"> and review</w:t>
            </w:r>
          </w:p>
        </w:tc>
      </w:tr>
      <w:tr w:rsidRPr="00082A8E" w:rsidR="003C4E37" w:rsidTr="00082A8E" w14:paraId="117A69CB" w14:textId="77777777">
        <w:trPr>
          <w:trHeight w:val="800"/>
        </w:trPr>
        <w:tc>
          <w:tcPr>
            <w:tcW w:w="8959" w:type="dxa"/>
            <w:shd w:val="clear" w:color="auto" w:fill="auto"/>
            <w:vAlign w:val="center"/>
          </w:tcPr>
          <w:p w:rsidRPr="00082A8E" w:rsidR="003C4E37" w:rsidP="003C4E37" w:rsidRDefault="003C4E37" w14:paraId="3D94D349" w14:textId="2D7E2ECE">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lastRenderedPageBreak/>
              <w:t>There is a system of regular reporting to key management forums, including senior management team level, to track progress and performance on safeguarding and protection, including information on safeguarding and protection issues and cases</w:t>
            </w:r>
          </w:p>
        </w:tc>
      </w:tr>
      <w:tr w:rsidRPr="00082A8E" w:rsidR="003C4E37" w:rsidTr="00082A8E" w14:paraId="47D9ADEB" w14:textId="77777777">
        <w:trPr>
          <w:trHeight w:val="800"/>
        </w:trPr>
        <w:tc>
          <w:tcPr>
            <w:tcW w:w="8959" w:type="dxa"/>
            <w:shd w:val="clear" w:color="auto" w:fill="auto"/>
            <w:vAlign w:val="center"/>
          </w:tcPr>
          <w:p w:rsidRPr="00082A8E" w:rsidR="003C4E37" w:rsidP="003C4E37" w:rsidRDefault="003C4E37" w14:paraId="5284B327" w14:textId="5CD66A67">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External or independent bodies such as the Board of Trustees or related committees are used to monitor performance in this area and hold senior executives to account in relation to safeguarding and protection</w:t>
            </w:r>
          </w:p>
        </w:tc>
      </w:tr>
      <w:tr w:rsidRPr="00082A8E" w:rsidR="003C4E37" w:rsidTr="00082A8E" w14:paraId="027F0AA2" w14:textId="77777777">
        <w:trPr>
          <w:trHeight w:val="800"/>
        </w:trPr>
        <w:tc>
          <w:tcPr>
            <w:tcW w:w="8959" w:type="dxa"/>
            <w:shd w:val="clear" w:color="auto" w:fill="auto"/>
            <w:vAlign w:val="center"/>
          </w:tcPr>
          <w:p w:rsidRPr="00082A8E" w:rsidR="003C4E37" w:rsidP="003C4E37" w:rsidRDefault="003C4E37" w14:paraId="4F2611A0" w14:textId="28BCDBE5">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Opportunities exist for learning from practical case experience to be fed back into organisational development</w:t>
            </w:r>
          </w:p>
        </w:tc>
      </w:tr>
      <w:tr w:rsidRPr="00082A8E" w:rsidR="003C4E37" w:rsidTr="00082A8E" w14:paraId="2472B996" w14:textId="77777777">
        <w:trPr>
          <w:trHeight w:val="800"/>
        </w:trPr>
        <w:tc>
          <w:tcPr>
            <w:tcW w:w="8959" w:type="dxa"/>
            <w:shd w:val="clear" w:color="auto" w:fill="auto"/>
            <w:vAlign w:val="center"/>
          </w:tcPr>
          <w:p w:rsidRPr="00082A8E" w:rsidR="003C4E37" w:rsidP="003C4E37" w:rsidRDefault="003C4E37" w14:paraId="2C0705B5" w14:textId="1580C59B">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 xml:space="preserve">Policies and practices are reviewed at regular intervals and formally evaluated </w:t>
            </w:r>
            <w:r w:rsidR="00F8695B">
              <w:rPr>
                <w:rFonts w:asciiTheme="minorHAnsi" w:hAnsiTheme="minorHAnsi" w:cstheme="minorHAnsi"/>
                <w:color w:val="000000"/>
                <w:szCs w:val="20"/>
                <w:lang w:eastAsia="en-US"/>
              </w:rPr>
              <w:t xml:space="preserve">at least once </w:t>
            </w:r>
            <w:r w:rsidRPr="00082A8E">
              <w:rPr>
                <w:rFonts w:asciiTheme="minorHAnsi" w:hAnsiTheme="minorHAnsi" w:cstheme="minorHAnsi"/>
                <w:color w:val="000000"/>
                <w:szCs w:val="20"/>
                <w:lang w:eastAsia="en-US"/>
              </w:rPr>
              <w:t>every 3 years</w:t>
            </w:r>
          </w:p>
        </w:tc>
      </w:tr>
      <w:tr w:rsidRPr="00082A8E" w:rsidR="003C4E37" w:rsidTr="00082A8E" w14:paraId="694ED28A" w14:textId="77777777">
        <w:trPr>
          <w:trHeight w:val="800"/>
        </w:trPr>
        <w:tc>
          <w:tcPr>
            <w:tcW w:w="8959" w:type="dxa"/>
            <w:shd w:val="clear" w:color="auto" w:fill="auto"/>
            <w:vAlign w:val="center"/>
          </w:tcPr>
          <w:p w:rsidRPr="00082A8E" w:rsidR="003C4E37" w:rsidP="003C4E37" w:rsidRDefault="003C4E37" w14:paraId="0A7FF10A" w14:textId="456DB16C">
            <w:pPr>
              <w:rPr>
                <w:rFonts w:asciiTheme="minorHAnsi" w:hAnsiTheme="minorHAnsi" w:cstheme="minorHAnsi"/>
                <w:color w:val="000000"/>
                <w:szCs w:val="20"/>
                <w:lang w:eastAsia="en-US"/>
              </w:rPr>
            </w:pPr>
            <w:r w:rsidRPr="00082A8E">
              <w:rPr>
                <w:rFonts w:asciiTheme="minorHAnsi" w:hAnsiTheme="minorHAnsi" w:cstheme="minorHAnsi"/>
                <w:color w:val="000000"/>
                <w:szCs w:val="20"/>
                <w:lang w:eastAsia="en-US"/>
              </w:rPr>
              <w:t>The organisation’s annual report includes performance on safeguarding and protection</w:t>
            </w:r>
          </w:p>
        </w:tc>
      </w:tr>
    </w:tbl>
    <w:p w:rsidR="00A5112C" w:rsidRDefault="00A5112C" w14:paraId="28286B66" w14:textId="77777777"/>
    <w:p w:rsidR="00A5112C" w:rsidRDefault="00A5112C" w14:paraId="31ACFAC7" w14:textId="77777777"/>
    <w:p w:rsidRPr="00611CBF" w:rsidR="00082A8E" w:rsidP="00082A8E" w:rsidRDefault="00082A8E" w14:paraId="1A3584A6" w14:textId="77777777">
      <w:pPr>
        <w:pStyle w:val="GCPSnormal"/>
        <w:jc w:val="both"/>
        <w:rPr>
          <w:rFonts w:ascii="Arial" w:hAnsi="Arial" w:cs="Arial"/>
          <w:sz w:val="20"/>
          <w:szCs w:val="20"/>
          <w:lang w:val="en-US"/>
        </w:rPr>
      </w:pPr>
    </w:p>
    <w:p w:rsidRPr="00B73A83" w:rsidR="00082A8E" w:rsidP="00082A8E" w:rsidRDefault="00082A8E" w14:paraId="122E932C" w14:textId="77777777">
      <w:pPr>
        <w:pStyle w:val="Bulletmike0"/>
        <w:numPr>
          <w:ilvl w:val="0"/>
          <w:numId w:val="0"/>
        </w:numPr>
        <w:sectPr w:rsidRPr="00B73A83" w:rsidR="00082A8E" w:rsidSect="00CB3B33">
          <w:headerReference w:type="even" r:id="rId21"/>
          <w:headerReference w:type="default" r:id="rId22"/>
          <w:footerReference w:type="even" r:id="rId23"/>
          <w:footerReference w:type="default" r:id="rId24"/>
          <w:headerReference w:type="first" r:id="rId25"/>
          <w:footerReference w:type="first" r:id="rId26"/>
          <w:pgSz w:w="11907" w:h="16839" w:orient="portrait" w:code="9"/>
          <w:pgMar w:top="1701" w:right="1418" w:bottom="1843" w:left="1418" w:header="425" w:footer="499" w:gutter="0"/>
          <w:cols w:space="720"/>
          <w:titlePg/>
          <w:docGrid w:linePitch="272"/>
        </w:sectPr>
      </w:pPr>
    </w:p>
    <w:p w:rsidRPr="00180367" w:rsidR="00C00838" w:rsidP="00C00838" w:rsidRDefault="00082A8E" w14:paraId="6D536A87" w14:textId="61911070">
      <w:pPr>
        <w:pStyle w:val="Heading2"/>
        <w:rPr>
          <w:i/>
          <w:noProof/>
          <w:lang w:val="en-GB"/>
        </w:rPr>
      </w:pPr>
      <w:r>
        <w:rPr>
          <w:noProof/>
          <w:lang w:val="en-GB"/>
        </w:rPr>
        <w:lastRenderedPageBreak/>
        <w:t>C</w:t>
      </w:r>
      <w:r w:rsidR="00C00838">
        <w:rPr>
          <w:noProof/>
          <w:lang w:val="en-GB"/>
        </w:rPr>
        <w:t xml:space="preserve"> -</w:t>
      </w:r>
      <w:r w:rsidRPr="00902F84" w:rsidR="00C00838">
        <w:rPr>
          <w:noProof/>
          <w:lang w:val="en-GB"/>
        </w:rPr>
        <w:t xml:space="preserve">Related </w:t>
      </w:r>
      <w:r w:rsidR="00C00838">
        <w:rPr>
          <w:noProof/>
          <w:lang w:val="en-GB"/>
        </w:rPr>
        <w:t>policies and d</w:t>
      </w:r>
      <w:r w:rsidRPr="00902F84" w:rsidR="00C00838">
        <w:rPr>
          <w:noProof/>
          <w:lang w:val="en-GB"/>
        </w:rPr>
        <w:t>ocuments</w:t>
      </w:r>
      <w:r w:rsidR="00C00838">
        <w:rPr>
          <w:noProof/>
          <w:lang w:val="en-GB"/>
        </w:rPr>
        <w:t xml:space="preserve"> </w:t>
      </w:r>
    </w:p>
    <w:p w:rsidRPr="00E7492C" w:rsidR="00C00838" w:rsidP="00C00838" w:rsidRDefault="00755170" w14:paraId="342AAB90" w14:textId="73D88E98">
      <w:pPr>
        <w:rPr>
          <w:noProof/>
          <w:lang w:val="en-GB"/>
        </w:rPr>
      </w:pPr>
      <w:r w:rsidRPr="008F160C">
        <w:rPr>
          <w:noProof/>
          <w:lang w:val="en-GB"/>
        </w:rPr>
        <w:t xml:space="preserve">All staff </w:t>
      </w:r>
      <w:r w:rsidRPr="00E12710">
        <w:rPr>
          <w:noProof/>
          <w:lang w:val="en-GB"/>
        </w:rPr>
        <w:t xml:space="preserve">and </w:t>
      </w:r>
      <w:r w:rsidR="00F8695B">
        <w:rPr>
          <w:noProof/>
          <w:lang w:val="en-GB"/>
        </w:rPr>
        <w:t>office-</w:t>
      </w:r>
      <w:r w:rsidRPr="00E12710" w:rsidR="008F160C">
        <w:rPr>
          <w:noProof/>
          <w:lang w:val="en-GB"/>
        </w:rPr>
        <w:t xml:space="preserve">based </w:t>
      </w:r>
      <w:r w:rsidRPr="00E12710">
        <w:rPr>
          <w:noProof/>
          <w:lang w:val="en-GB"/>
        </w:rPr>
        <w:t>volunteers</w:t>
      </w:r>
      <w:r w:rsidRPr="008F160C">
        <w:rPr>
          <w:noProof/>
          <w:lang w:val="en-GB"/>
        </w:rPr>
        <w:t xml:space="preserve"> should</w:t>
      </w:r>
      <w:r>
        <w:rPr>
          <w:noProof/>
          <w:lang w:val="en-GB"/>
        </w:rPr>
        <w:t xml:space="preserve"> ensure that they ar</w:t>
      </w:r>
      <w:r w:rsidR="00F8695B">
        <w:rPr>
          <w:noProof/>
          <w:lang w:val="en-GB"/>
        </w:rPr>
        <w:t xml:space="preserve">e familiar with MRF’s policies. </w:t>
      </w:r>
      <w:r w:rsidRPr="00E7492C" w:rsidR="00C00838">
        <w:rPr>
          <w:noProof/>
          <w:lang w:val="en-GB"/>
        </w:rPr>
        <w:t xml:space="preserve">Safeguarding considerations </w:t>
      </w:r>
      <w:r w:rsidR="00E7492C">
        <w:rPr>
          <w:noProof/>
          <w:lang w:val="en-GB"/>
        </w:rPr>
        <w:t xml:space="preserve">are </w:t>
      </w:r>
      <w:r w:rsidRPr="00E7492C" w:rsidR="00C00838">
        <w:rPr>
          <w:noProof/>
          <w:lang w:val="en-GB"/>
        </w:rPr>
        <w:t>included in the following</w:t>
      </w:r>
      <w:r>
        <w:rPr>
          <w:noProof/>
          <w:lang w:val="en-GB"/>
        </w:rPr>
        <w:t>:</w:t>
      </w:r>
      <w:r w:rsidRPr="00E7492C" w:rsidR="00C00838">
        <w:rPr>
          <w:noProof/>
          <w:lang w:val="en-GB"/>
        </w:rPr>
        <w:t xml:space="preserve"> </w:t>
      </w:r>
    </w:p>
    <w:p w:rsidRPr="00E7492C" w:rsidR="00E7492C" w:rsidP="00E7492C" w:rsidRDefault="00E7492C" w14:paraId="27E21805" w14:textId="77777777">
      <w:pPr>
        <w:pStyle w:val="BulletMike"/>
        <w:ind w:left="284" w:hanging="284"/>
        <w:rPr>
          <w:noProof/>
          <w:lang w:val="en-GB"/>
        </w:rPr>
      </w:pPr>
      <w:r w:rsidRPr="00E7492C">
        <w:rPr>
          <w:noProof/>
          <w:lang w:val="en-GB"/>
        </w:rPr>
        <w:t>Employment Contract</w:t>
      </w:r>
    </w:p>
    <w:p w:rsidRPr="00902F84" w:rsidR="00DE26F8" w:rsidP="00C00838" w:rsidRDefault="00DE26F8" w14:paraId="725E5E72" w14:textId="77777777">
      <w:pPr>
        <w:pStyle w:val="BulletMike"/>
        <w:ind w:left="284" w:hanging="284"/>
        <w:rPr>
          <w:rFonts w:cs="Arial"/>
          <w:noProof/>
          <w:lang w:val="en-GB"/>
        </w:rPr>
      </w:pPr>
      <w:r w:rsidRPr="00902F84">
        <w:rPr>
          <w:noProof/>
          <w:lang w:val="en-GB"/>
        </w:rPr>
        <w:t>Anti-harassment &amp; Bullying Policy</w:t>
      </w:r>
    </w:p>
    <w:p w:rsidRPr="00902F84" w:rsidR="00DE26F8" w:rsidP="00C00838" w:rsidRDefault="00DE26F8" w14:paraId="635FD88A" w14:textId="77777777">
      <w:pPr>
        <w:pStyle w:val="BulletMike"/>
        <w:ind w:left="284" w:hanging="284"/>
        <w:rPr>
          <w:noProof/>
          <w:lang w:val="en-GB"/>
        </w:rPr>
      </w:pPr>
      <w:r>
        <w:rPr>
          <w:noProof/>
          <w:lang w:val="en-GB"/>
        </w:rPr>
        <w:t>Complaints Policy</w:t>
      </w:r>
    </w:p>
    <w:p w:rsidRPr="0092169C" w:rsidR="00DE26F8" w:rsidP="00C00838" w:rsidRDefault="00DE26F8" w14:paraId="6458E024" w14:textId="3E4EB089">
      <w:pPr>
        <w:pStyle w:val="BulletMike"/>
        <w:ind w:left="284" w:hanging="284"/>
        <w:rPr>
          <w:noProof/>
          <w:lang w:val="en-GB"/>
        </w:rPr>
      </w:pPr>
      <w:r w:rsidRPr="0092169C">
        <w:rPr>
          <w:noProof/>
          <w:lang w:val="en-GB"/>
        </w:rPr>
        <w:t>Conflict of Interests</w:t>
      </w:r>
      <w:r w:rsidR="00C51636">
        <w:rPr>
          <w:noProof/>
          <w:lang w:val="en-GB"/>
        </w:rPr>
        <w:t xml:space="preserve"> Policy &amp; Declaration</w:t>
      </w:r>
    </w:p>
    <w:p w:rsidR="00DE26F8" w:rsidP="00C00838" w:rsidRDefault="00DE26F8" w14:paraId="2EB35D75" w14:textId="0B0DC296">
      <w:pPr>
        <w:pStyle w:val="BulletMike"/>
        <w:ind w:left="284" w:hanging="284"/>
        <w:rPr>
          <w:noProof/>
          <w:lang w:val="en-GB"/>
        </w:rPr>
      </w:pPr>
      <w:r>
        <w:rPr>
          <w:noProof/>
          <w:lang w:val="en-GB"/>
        </w:rPr>
        <w:t>Agreement</w:t>
      </w:r>
      <w:r w:rsidR="00E7492C">
        <w:rPr>
          <w:noProof/>
          <w:lang w:val="en-GB"/>
        </w:rPr>
        <w:t>s with contractors</w:t>
      </w:r>
    </w:p>
    <w:p w:rsidRPr="00902F84" w:rsidR="00DE26F8" w:rsidP="00C00838" w:rsidRDefault="00DE26F8" w14:paraId="32151384" w14:textId="77777777">
      <w:pPr>
        <w:pStyle w:val="BulletMike"/>
        <w:ind w:left="284" w:hanging="284"/>
        <w:rPr>
          <w:noProof/>
          <w:lang w:val="en-GB"/>
        </w:rPr>
      </w:pPr>
      <w:r w:rsidRPr="00902F84">
        <w:rPr>
          <w:noProof/>
          <w:lang w:val="en-GB"/>
        </w:rPr>
        <w:t>Data Protection Policy</w:t>
      </w:r>
    </w:p>
    <w:p w:rsidR="00DE26F8" w:rsidP="00C00838" w:rsidRDefault="00DE26F8" w14:paraId="6D9A89C4" w14:textId="77777777">
      <w:pPr>
        <w:pStyle w:val="BulletMike"/>
        <w:ind w:left="284" w:hanging="284"/>
        <w:rPr>
          <w:noProof/>
          <w:lang w:val="en-GB"/>
        </w:rPr>
      </w:pPr>
      <w:r w:rsidRPr="00902F84">
        <w:rPr>
          <w:noProof/>
          <w:lang w:val="en-GB"/>
        </w:rPr>
        <w:t>Disciplinary Procedure</w:t>
      </w:r>
    </w:p>
    <w:p w:rsidRPr="00902F84" w:rsidR="00DE26F8" w:rsidP="00C00838" w:rsidRDefault="00DE26F8" w14:paraId="1B3033EB" w14:textId="77777777">
      <w:pPr>
        <w:pStyle w:val="BulletMike"/>
        <w:ind w:left="284" w:hanging="284"/>
        <w:rPr>
          <w:noProof/>
          <w:lang w:val="en-GB"/>
        </w:rPr>
      </w:pPr>
      <w:r w:rsidRPr="00902F84">
        <w:rPr>
          <w:noProof/>
          <w:lang w:val="en-GB"/>
        </w:rPr>
        <w:t>Equality and Diversity Policy</w:t>
      </w:r>
    </w:p>
    <w:p w:rsidR="00DE26F8" w:rsidP="00C00838" w:rsidRDefault="00DE26F8" w14:paraId="075962EE" w14:textId="77777777">
      <w:pPr>
        <w:pStyle w:val="BulletMike"/>
        <w:ind w:left="284" w:hanging="284"/>
        <w:rPr>
          <w:noProof/>
          <w:lang w:val="en-GB"/>
        </w:rPr>
      </w:pPr>
      <w:r w:rsidRPr="00902F84">
        <w:rPr>
          <w:noProof/>
          <w:lang w:val="en-GB"/>
        </w:rPr>
        <w:t>Fraud Policy</w:t>
      </w:r>
    </w:p>
    <w:p w:rsidR="00DE26F8" w:rsidP="00C00838" w:rsidRDefault="00E7492C" w14:paraId="0B34ED73" w14:textId="7F9A8F62">
      <w:pPr>
        <w:pStyle w:val="BulletMike"/>
        <w:ind w:left="284" w:hanging="284"/>
        <w:rPr>
          <w:noProof/>
          <w:lang w:val="en-GB"/>
        </w:rPr>
      </w:pPr>
      <w:r>
        <w:rPr>
          <w:noProof/>
          <w:lang w:val="en-GB"/>
        </w:rPr>
        <w:t>Griev</w:t>
      </w:r>
      <w:r w:rsidR="00DE26F8">
        <w:rPr>
          <w:noProof/>
          <w:lang w:val="en-GB"/>
        </w:rPr>
        <w:t>an</w:t>
      </w:r>
      <w:r>
        <w:rPr>
          <w:noProof/>
          <w:lang w:val="en-GB"/>
        </w:rPr>
        <w:t>ce Policy</w:t>
      </w:r>
    </w:p>
    <w:p w:rsidRPr="00902F84" w:rsidR="00DE26F8" w:rsidP="00C00838" w:rsidRDefault="00DE26F8" w14:paraId="088615F8" w14:textId="77777777">
      <w:pPr>
        <w:pStyle w:val="BulletMike"/>
        <w:ind w:left="284" w:hanging="284"/>
        <w:rPr>
          <w:noProof/>
          <w:lang w:val="en-GB"/>
        </w:rPr>
      </w:pPr>
      <w:r w:rsidRPr="00902F84">
        <w:rPr>
          <w:noProof/>
          <w:lang w:val="en-GB"/>
        </w:rPr>
        <w:t>Health and Safety Policy</w:t>
      </w:r>
    </w:p>
    <w:p w:rsidRPr="00902F84" w:rsidR="00DE26F8" w:rsidP="00C00838" w:rsidRDefault="00DE26F8" w14:paraId="34B752F8" w14:textId="77777777">
      <w:pPr>
        <w:pStyle w:val="BulletMike"/>
        <w:ind w:left="284" w:hanging="284"/>
        <w:rPr>
          <w:noProof/>
          <w:lang w:val="en-GB"/>
        </w:rPr>
      </w:pPr>
      <w:r w:rsidRPr="00902F84">
        <w:rPr>
          <w:noProof/>
          <w:lang w:val="en-GB"/>
        </w:rPr>
        <w:t xml:space="preserve">Volunteer Policy </w:t>
      </w:r>
    </w:p>
    <w:p w:rsidRPr="00902F84" w:rsidR="00DE26F8" w:rsidP="00C00838" w:rsidRDefault="00DE26F8" w14:paraId="77F6CE28" w14:textId="77777777">
      <w:pPr>
        <w:pStyle w:val="BulletMike"/>
        <w:ind w:left="284" w:hanging="284"/>
        <w:rPr>
          <w:noProof/>
          <w:lang w:val="en-GB"/>
        </w:rPr>
      </w:pPr>
      <w:r w:rsidRPr="00902F84">
        <w:rPr>
          <w:noProof/>
          <w:lang w:val="en-GB"/>
        </w:rPr>
        <w:t>Whistleblowing Policy</w:t>
      </w:r>
    </w:p>
    <w:p w:rsidR="00C00838" w:rsidP="0092169C" w:rsidRDefault="00C00838" w14:paraId="51AC2F66" w14:textId="77777777">
      <w:pPr>
        <w:rPr>
          <w:noProof/>
          <w:lang w:val="en-GB"/>
        </w:rPr>
      </w:pPr>
    </w:p>
    <w:p w:rsidR="0055187E" w:rsidP="0092169C" w:rsidRDefault="0055187E" w14:paraId="5EA51E00" w14:textId="77777777">
      <w:pPr>
        <w:rPr>
          <w:noProof/>
          <w:lang w:val="en-GB"/>
        </w:rPr>
      </w:pPr>
    </w:p>
    <w:p w:rsidR="0055187E" w:rsidP="0092169C" w:rsidRDefault="0055187E" w14:paraId="7F7CC7A1" w14:textId="77777777">
      <w:pPr>
        <w:rPr>
          <w:noProof/>
          <w:lang w:val="en-GB"/>
        </w:rPr>
      </w:pPr>
    </w:p>
    <w:p w:rsidR="00C00838" w:rsidP="0092169C" w:rsidRDefault="00C00838" w14:paraId="55A34315" w14:textId="77777777">
      <w:pPr>
        <w:rPr>
          <w:noProof/>
          <w:lang w:val="en-GB"/>
        </w:rPr>
      </w:pPr>
    </w:p>
    <w:sectPr w:rsidR="00C00838" w:rsidSect="00CB3B33">
      <w:headerReference w:type="default" r:id="rId27"/>
      <w:footerReference w:type="default" r:id="rId28"/>
      <w:pgSz w:w="11907" w:h="16839" w:orient="portrait" w:code="9"/>
      <w:pgMar w:top="1701" w:right="1418" w:bottom="1843" w:left="1418" w:header="425" w:footer="4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B33" w:rsidP="00581E86" w:rsidRDefault="00CB3B33" w14:paraId="014DF072" w14:textId="77777777">
      <w:pPr>
        <w:spacing w:after="0" w:line="240" w:lineRule="auto"/>
      </w:pPr>
      <w:r>
        <w:separator/>
      </w:r>
    </w:p>
  </w:endnote>
  <w:endnote w:type="continuationSeparator" w:id="0">
    <w:p w:rsidR="00CB3B33" w:rsidP="00581E86" w:rsidRDefault="00CB3B33" w14:paraId="024886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70A" w:rsidRDefault="007C170A" w14:paraId="19B965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4BBF" w:rsidR="00082A8E" w:rsidP="002F4BBF" w:rsidRDefault="00082A8E" w14:paraId="4A51C154" w14:textId="77777777">
    <w:pPr>
      <w:pStyle w:val="Footer"/>
      <w:tabs>
        <w:tab w:val="clear" w:pos="567"/>
        <w:tab w:val="clear" w:pos="1134"/>
        <w:tab w:val="clear" w:pos="1701"/>
        <w:tab w:val="clear" w:pos="2268"/>
        <w:tab w:val="clear" w:pos="4513"/>
        <w:tab w:val="clear" w:pos="9026"/>
        <w:tab w:val="center" w:pos="4536"/>
      </w:tabs>
      <w:rPr>
        <w:color w:val="582C8D"/>
        <w:sz w:val="16"/>
        <w:szCs w:val="16"/>
      </w:rPr>
    </w:pPr>
  </w:p>
  <w:p w:rsidRPr="00892231" w:rsidR="00892231" w:rsidP="00892231" w:rsidRDefault="00892231" w14:paraId="719C2F4C" w14:textId="373CC72F">
    <w:pPr>
      <w:tabs>
        <w:tab w:val="clear" w:pos="567"/>
        <w:tab w:val="clear" w:pos="1134"/>
        <w:tab w:val="clear" w:pos="1701"/>
        <w:tab w:val="clear" w:pos="2268"/>
        <w:tab w:val="center" w:pos="4536"/>
      </w:tabs>
      <w:spacing w:after="0" w:line="240" w:lineRule="auto"/>
      <w:rPr>
        <w:noProof/>
        <w:sz w:val="16"/>
        <w:szCs w:val="16"/>
      </w:rPr>
    </w:pPr>
    <w:r w:rsidRPr="00892231">
      <w:rPr>
        <w:sz w:val="16"/>
        <w:szCs w:val="16"/>
      </w:rPr>
      <w:fldChar w:fldCharType="begin"/>
    </w:r>
    <w:r w:rsidRPr="00892231">
      <w:rPr>
        <w:sz w:val="16"/>
        <w:szCs w:val="16"/>
      </w:rPr>
      <w:instrText xml:space="preserve"> FILENAME \* MERGEFORMAT </w:instrText>
    </w:r>
    <w:r w:rsidRPr="00892231">
      <w:rPr>
        <w:sz w:val="16"/>
        <w:szCs w:val="16"/>
      </w:rPr>
      <w:fldChar w:fldCharType="separate"/>
    </w:r>
    <w:r w:rsidR="00DE7DFA">
      <w:rPr>
        <w:noProof/>
        <w:sz w:val="16"/>
        <w:szCs w:val="16"/>
      </w:rPr>
      <w:t>MRF Safeguarding policy</w:t>
    </w:r>
    <w:r w:rsidRPr="00892231">
      <w:rPr>
        <w:sz w:val="16"/>
        <w:szCs w:val="16"/>
      </w:rPr>
      <w:fldChar w:fldCharType="end"/>
    </w:r>
    <w:r w:rsidRPr="00892231">
      <w:rPr>
        <w:sz w:val="16"/>
        <w:szCs w:val="16"/>
      </w:rPr>
      <w:tab/>
    </w:r>
    <w:r w:rsidRPr="00892231">
      <w:rPr>
        <w:sz w:val="16"/>
        <w:szCs w:val="16"/>
      </w:rPr>
      <w:fldChar w:fldCharType="begin"/>
    </w:r>
    <w:r w:rsidRPr="00892231">
      <w:rPr>
        <w:sz w:val="16"/>
        <w:szCs w:val="16"/>
      </w:rPr>
      <w:instrText xml:space="preserve"> PAGE   \* MERGEFORMAT </w:instrText>
    </w:r>
    <w:r w:rsidRPr="00892231">
      <w:rPr>
        <w:sz w:val="16"/>
        <w:szCs w:val="16"/>
      </w:rPr>
      <w:fldChar w:fldCharType="separate"/>
    </w:r>
    <w:r w:rsidR="00D90601">
      <w:rPr>
        <w:noProof/>
        <w:sz w:val="16"/>
        <w:szCs w:val="16"/>
      </w:rPr>
      <w:t>11</w:t>
    </w:r>
    <w:r w:rsidRPr="00892231">
      <w:rPr>
        <w:noProof/>
        <w:sz w:val="16"/>
        <w:szCs w:val="16"/>
      </w:rPr>
      <w:fldChar w:fldCharType="end"/>
    </w:r>
    <w:r w:rsidRPr="00892231">
      <w:rPr>
        <w:noProof/>
        <w:sz w:val="16"/>
        <w:szCs w:val="16"/>
      </w:rPr>
      <w:t>/</w:t>
    </w:r>
    <w:r w:rsidRPr="00892231">
      <w:rPr>
        <w:noProof/>
        <w:sz w:val="16"/>
        <w:szCs w:val="16"/>
      </w:rPr>
      <w:fldChar w:fldCharType="begin"/>
    </w:r>
    <w:r w:rsidRPr="00892231">
      <w:rPr>
        <w:noProof/>
        <w:sz w:val="16"/>
        <w:szCs w:val="16"/>
      </w:rPr>
      <w:instrText xml:space="preserve"> NUMPAGES   \* MERGEFORMAT </w:instrText>
    </w:r>
    <w:r w:rsidRPr="00892231">
      <w:rPr>
        <w:noProof/>
        <w:sz w:val="16"/>
        <w:szCs w:val="16"/>
      </w:rPr>
      <w:fldChar w:fldCharType="separate"/>
    </w:r>
    <w:r w:rsidR="00D90601">
      <w:rPr>
        <w:noProof/>
        <w:sz w:val="16"/>
        <w:szCs w:val="16"/>
      </w:rPr>
      <w:t>12</w:t>
    </w:r>
    <w:r w:rsidRPr="00892231">
      <w:rPr>
        <w:noProof/>
        <w:sz w:val="16"/>
        <w:szCs w:val="16"/>
      </w:rPr>
      <w:fldChar w:fldCharType="end"/>
    </w:r>
    <w:r w:rsidRPr="00892231">
      <w:rPr>
        <w:noProof/>
        <w:sz w:val="16"/>
        <w:szCs w:val="16"/>
      </w:rPr>
      <w:tab/>
    </w:r>
    <w:r w:rsidRPr="00892231">
      <w:rPr>
        <w:noProof/>
        <w:sz w:val="16"/>
        <w:szCs w:val="16"/>
      </w:rPr>
      <w:tab/>
    </w:r>
    <w:r w:rsidRPr="00892231">
      <w:rPr>
        <w:noProof/>
        <w:sz w:val="16"/>
        <w:szCs w:val="16"/>
      </w:rPr>
      <w:tab/>
    </w:r>
    <w:r w:rsidRPr="00892231">
      <w:rPr>
        <w:noProof/>
        <w:color w:val="582C83"/>
        <w:sz w:val="16"/>
        <w:szCs w:val="16"/>
      </w:rPr>
      <w:tab/>
    </w:r>
    <w:r w:rsidRPr="00892231">
      <w:rPr>
        <w:b/>
        <w:noProof/>
        <w:color w:val="582C83"/>
        <w:sz w:val="18"/>
        <w:szCs w:val="18"/>
      </w:rPr>
      <w:t>www.meningitis.org</w:t>
    </w:r>
  </w:p>
  <w:p w:rsidRPr="002F4BBF" w:rsidR="00082A8E" w:rsidP="00892231" w:rsidRDefault="00082A8E" w14:paraId="3D728111" w14:textId="09147A15">
    <w:pPr>
      <w:pStyle w:val="Footer"/>
      <w:tabs>
        <w:tab w:val="clear" w:pos="567"/>
        <w:tab w:val="clear" w:pos="1134"/>
        <w:tab w:val="clear" w:pos="1701"/>
        <w:tab w:val="clear" w:pos="2268"/>
        <w:tab w:val="clear" w:pos="9026"/>
        <w:tab w:val="left" w:pos="3885"/>
      </w:tabs>
      <w:rPr>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70A" w:rsidRDefault="007C170A" w14:paraId="3CB6D8C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4BBF" w:rsidR="002F4BBF" w:rsidP="002F4BBF" w:rsidRDefault="00AA751C" w14:paraId="423F779A" w14:textId="40C83B2F">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Safeguarding-</w:t>
    </w:r>
    <w:r w:rsidR="00A5112C">
      <w:rPr>
        <w:sz w:val="16"/>
        <w:szCs w:val="16"/>
      </w:rPr>
      <w:t>Policy</w:t>
    </w:r>
    <w:r w:rsidR="00A5112C">
      <w:rPr>
        <w:sz w:val="16"/>
        <w:szCs w:val="16"/>
      </w:rPr>
      <w:tab/>
    </w:r>
    <w:r w:rsidRPr="00241FCF" w:rsidR="002F4BBF">
      <w:rPr>
        <w:sz w:val="16"/>
        <w:szCs w:val="16"/>
      </w:rPr>
      <w:fldChar w:fldCharType="begin"/>
    </w:r>
    <w:r w:rsidRPr="00241FCF" w:rsidR="002F4BBF">
      <w:rPr>
        <w:sz w:val="16"/>
        <w:szCs w:val="16"/>
      </w:rPr>
      <w:instrText xml:space="preserve"> PAGE   \* MERGEFORMAT </w:instrText>
    </w:r>
    <w:r w:rsidRPr="00241FCF" w:rsidR="002F4BBF">
      <w:rPr>
        <w:sz w:val="16"/>
        <w:szCs w:val="16"/>
      </w:rPr>
      <w:fldChar w:fldCharType="separate"/>
    </w:r>
    <w:r w:rsidR="00D90601">
      <w:rPr>
        <w:noProof/>
        <w:sz w:val="16"/>
        <w:szCs w:val="16"/>
      </w:rPr>
      <w:t>12</w:t>
    </w:r>
    <w:r w:rsidRPr="00241FCF" w:rsidR="002F4BB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D90601">
      <w:rPr>
        <w:noProof/>
        <w:sz w:val="16"/>
        <w:szCs w:val="16"/>
      </w:rPr>
      <w:t>12</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Pr="0066104F" w:rsidR="00B57EB6">
      <w:rPr>
        <w:noProof/>
        <w:color w:val="582C83"/>
        <w:sz w:val="16"/>
        <w:szCs w:val="16"/>
      </w:rPr>
      <w:tab/>
    </w:r>
    <w:r w:rsidRPr="0066104F" w:rsidR="00B57EB6">
      <w:rPr>
        <w:b/>
        <w:noProof/>
        <w:color w:val="582C83"/>
        <w:sz w:val="18"/>
        <w:szCs w:val="18"/>
      </w:rPr>
      <w:t>www.meningitis.org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B33" w:rsidP="00581E86" w:rsidRDefault="00CB3B33" w14:paraId="5E437954" w14:textId="77777777">
      <w:pPr>
        <w:spacing w:after="0" w:line="240" w:lineRule="auto"/>
      </w:pPr>
      <w:r>
        <w:separator/>
      </w:r>
    </w:p>
  </w:footnote>
  <w:footnote w:type="continuationSeparator" w:id="0">
    <w:p w:rsidR="00CB3B33" w:rsidP="00581E86" w:rsidRDefault="00CB3B33" w14:paraId="562A1001" w14:textId="77777777">
      <w:pPr>
        <w:spacing w:after="0" w:line="240" w:lineRule="auto"/>
      </w:pPr>
      <w:r>
        <w:continuationSeparator/>
      </w:r>
    </w:p>
  </w:footnote>
  <w:footnote w:id="1">
    <w:p w:rsidR="00DC5F63" w:rsidP="00DC5F63" w:rsidRDefault="00DC5F63" w14:paraId="257B8DCE" w14:textId="77777777">
      <w:pPr>
        <w:pStyle w:val="FootnoteText"/>
      </w:pPr>
      <w:r>
        <w:rPr>
          <w:rStyle w:val="FootnoteReference"/>
        </w:rPr>
        <w:footnoteRef/>
      </w:r>
      <w:r>
        <w:t xml:space="preserve"> </w:t>
      </w:r>
      <w:r w:rsidRPr="007B7B4A">
        <w:rPr>
          <w:rFonts w:ascii="Arial" w:hAnsi="Arial" w:cs="Arial"/>
          <w:sz w:val="18"/>
          <w:szCs w:val="18"/>
        </w:rPr>
        <w:t>Definition from World Health Organisation: World</w:t>
      </w:r>
      <w:r>
        <w:rPr>
          <w:rFonts w:ascii="Arial" w:hAnsi="Arial" w:cs="Arial"/>
          <w:sz w:val="18"/>
          <w:szCs w:val="18"/>
        </w:rPr>
        <w:t xml:space="preserve"> Report on Violence and Health</w:t>
      </w:r>
      <w:r w:rsidRPr="007B7B4A">
        <w:rPr>
          <w:rFonts w:ascii="Arial" w:hAnsi="Arial" w:cs="Arial"/>
          <w:sz w:val="18"/>
          <w:szCs w:val="18"/>
        </w:rPr>
        <w:t>, WHO 1999 &amp;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70A" w:rsidRDefault="007C170A" w14:paraId="5F5A9F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04E0" w:rsidR="00A05DD0" w:rsidP="1608FBF2" w:rsidRDefault="00A05DD0" w14:paraId="6F62D506" w14:textId="17328221">
    <w:pPr>
      <w:tabs>
        <w:tab w:val="right" w:pos="5179"/>
      </w:tabs>
      <w:spacing w:after="0" w:line="240" w:lineRule="auto"/>
      <w:rPr>
        <w:rFonts w:eastAsia="Arial" w:cs="Arial"/>
        <w:color w:val="000000" w:themeColor="text1"/>
        <w:szCs w:val="20"/>
        <w:lang w:val="nl-NL"/>
      </w:rPr>
    </w:pPr>
  </w:p>
  <w:p w:rsidRPr="000604E0" w:rsidR="00A05DD0" w:rsidP="000604E0" w:rsidRDefault="00A05DD0" w14:paraId="45636248" w14:textId="095265FA">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2A8E" w:rsidP="1608FBF2" w:rsidRDefault="1608FBF2" w14:paraId="3FB0EF31" w14:textId="2CA4D3D8">
    <w:pPr>
      <w:tabs>
        <w:tab w:val="right" w:pos="567"/>
        <w:tab w:val="right" w:pos="1134"/>
      </w:tabs>
      <w:rPr>
        <w:rFonts w:ascii="Roboto" w:hAnsi="Roboto" w:eastAsia="Roboto" w:cs="Roboto"/>
        <w:color w:val="000000" w:themeColor="text1"/>
        <w:sz w:val="18"/>
        <w:szCs w:val="18"/>
      </w:rPr>
    </w:pPr>
    <w:r w:rsidRPr="1608FBF2">
      <w:rPr>
        <w:rFonts w:ascii="Roboto" w:hAnsi="Roboto" w:eastAsia="Roboto" w:cs="Roboto"/>
        <w:color w:val="000000" w:themeColor="text1"/>
        <w:sz w:val="18"/>
        <w:szCs w:val="18"/>
      </w:rPr>
      <w:t xml:space="preserve">7th Floor, The Programme Building                                                      </w:t>
    </w:r>
    <w:r>
      <w:rPr>
        <w:noProof/>
      </w:rPr>
      <w:drawing>
        <wp:inline distT="0" distB="0" distL="0" distR="0" wp14:anchorId="6E690607" wp14:editId="5E1D45C4">
          <wp:extent cx="2447925" cy="885825"/>
          <wp:effectExtent l="0" t="0" r="0" b="0"/>
          <wp:docPr id="830941292" name="Picture 83094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885825"/>
                  </a:xfrm>
                  <a:prstGeom prst="rect">
                    <a:avLst/>
                  </a:prstGeom>
                </pic:spPr>
              </pic:pic>
            </a:graphicData>
          </a:graphic>
        </wp:inline>
      </w:drawing>
    </w:r>
    <w:r w:rsidRPr="1608FBF2">
      <w:rPr>
        <w:rFonts w:ascii="Roboto" w:hAnsi="Roboto" w:eastAsia="Roboto" w:cs="Roboto"/>
        <w:color w:val="000000" w:themeColor="text1"/>
        <w:sz w:val="18"/>
        <w:szCs w:val="18"/>
      </w:rPr>
      <w:t xml:space="preserve">The Pithay, Bristol, BS1 </w:t>
    </w:r>
    <w:proofErr w:type="gramStart"/>
    <w:r w:rsidRPr="1608FBF2">
      <w:rPr>
        <w:rFonts w:ascii="Roboto" w:hAnsi="Roboto" w:eastAsia="Roboto" w:cs="Roboto"/>
        <w:color w:val="000000" w:themeColor="text1"/>
        <w:sz w:val="18"/>
        <w:szCs w:val="18"/>
      </w:rPr>
      <w:t>2NB</w:t>
    </w:r>
    <w:proofErr w:type="gramEnd"/>
  </w:p>
  <w:p w:rsidR="00082A8E" w:rsidP="1608FBF2" w:rsidRDefault="1608FBF2" w14:paraId="0C7478B2" w14:textId="52985AA5">
    <w:pPr>
      <w:tabs>
        <w:tab w:val="right" w:pos="567"/>
        <w:tab w:val="right" w:pos="1134"/>
      </w:tabs>
      <w:rPr>
        <w:rFonts w:ascii="Roboto" w:hAnsi="Roboto" w:eastAsia="Roboto" w:cs="Roboto"/>
        <w:color w:val="000000" w:themeColor="text1"/>
        <w:sz w:val="18"/>
        <w:szCs w:val="18"/>
      </w:rPr>
    </w:pPr>
    <w:r w:rsidRPr="1608FBF2">
      <w:rPr>
        <w:rFonts w:ascii="Roboto" w:hAnsi="Roboto" w:eastAsia="Roboto" w:cs="Roboto"/>
        <w:color w:val="000000" w:themeColor="text1"/>
        <w:sz w:val="18"/>
        <w:szCs w:val="18"/>
        <w:lang w:val="pt-BR"/>
      </w:rPr>
      <w:t>+44 (0)333 405 6262</w:t>
    </w:r>
  </w:p>
  <w:p w:rsidR="00082A8E" w:rsidP="1608FBF2" w:rsidRDefault="00000000" w14:paraId="527DBB5E" w14:textId="754C5C7A">
    <w:pPr>
      <w:tabs>
        <w:tab w:val="right" w:pos="567"/>
        <w:tab w:val="right" w:pos="1134"/>
      </w:tabs>
      <w:rPr>
        <w:rFonts w:ascii="Roboto" w:hAnsi="Roboto" w:eastAsia="Roboto" w:cs="Roboto"/>
        <w:color w:val="000000" w:themeColor="text1"/>
        <w:sz w:val="18"/>
        <w:szCs w:val="18"/>
      </w:rPr>
    </w:pPr>
    <w:hyperlink r:id="rId2">
      <w:r w:rsidRPr="1608FBF2" w:rsidR="1608FBF2">
        <w:rPr>
          <w:rStyle w:val="Hyperlink"/>
          <w:rFonts w:ascii="Roboto" w:hAnsi="Roboto" w:eastAsia="Roboto" w:cs="Roboto"/>
          <w:sz w:val="18"/>
          <w:szCs w:val="18"/>
          <w:lang w:val="pt-BR"/>
        </w:rPr>
        <w:t>info@meningitis.org</w:t>
      </w:r>
    </w:hyperlink>
  </w:p>
  <w:p w:rsidR="00082A8E" w:rsidP="1608FBF2" w:rsidRDefault="1608FBF2" w14:paraId="27B1C97E" w14:textId="7EE5D87B">
    <w:pPr>
      <w:tabs>
        <w:tab w:val="right" w:pos="567"/>
        <w:tab w:val="right" w:pos="1134"/>
      </w:tabs>
      <w:rPr>
        <w:rFonts w:ascii="Roboto" w:hAnsi="Roboto" w:eastAsia="Roboto" w:cs="Roboto"/>
        <w:color w:val="000000" w:themeColor="text1"/>
        <w:sz w:val="18"/>
        <w:szCs w:val="18"/>
      </w:rPr>
    </w:pPr>
    <w:r w:rsidRPr="1608FBF2">
      <w:rPr>
        <w:rFonts w:ascii="Roboto" w:hAnsi="Roboto" w:eastAsia="Roboto" w:cs="Roboto"/>
        <w:b/>
        <w:bCs/>
        <w:color w:val="000000" w:themeColor="text1"/>
        <w:sz w:val="18"/>
        <w:szCs w:val="18"/>
        <w:lang w:val="pt-BR"/>
      </w:rPr>
      <w:t>meningitis.org</w:t>
    </w:r>
  </w:p>
  <w:p w:rsidR="00082A8E" w:rsidP="1608FBF2" w:rsidRDefault="00082A8E" w14:paraId="221C3581" w14:textId="62AB06CB">
    <w:pPr>
      <w:tabs>
        <w:tab w:val="right" w:pos="5179"/>
      </w:tabs>
      <w:spacing w:after="0" w:line="240" w:lineRule="auto"/>
      <w:rPr>
        <w:rFonts w:eastAsia="Arial" w:cs="Arial"/>
        <w:color w:val="000000" w:themeColor="text1"/>
        <w:szCs w:val="20"/>
      </w:rPr>
    </w:pPr>
  </w:p>
  <w:p w:rsidR="00082A8E" w:rsidRDefault="00082A8E" w14:paraId="3FEAE241" w14:textId="77777777">
    <w:pPr>
      <w:pStyle w:val="Header"/>
    </w:pPr>
  </w:p>
  <w:p w:rsidR="00082A8E" w:rsidRDefault="00082A8E" w14:paraId="30F6B533" w14:textId="77777777">
    <w:pPr>
      <w:pStyle w:val="Header"/>
    </w:pPr>
  </w:p>
  <w:p w:rsidR="00082A8E" w:rsidRDefault="00082A8E" w14:paraId="03923A5A" w14:textId="77777777">
    <w:pPr>
      <w:pStyle w:val="Header"/>
    </w:pPr>
  </w:p>
  <w:p w:rsidR="00082A8E" w:rsidRDefault="00082A8E" w14:paraId="1BD5337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7EB6" w:rsidRDefault="00B57EB6" w14:paraId="03266C9D" w14:textId="77777777">
    <w:pPr>
      <w:pStyle w:val="Header"/>
    </w:pPr>
    <w:r w:rsidRPr="00291B76">
      <w:rPr>
        <w:b/>
        <w:noProof/>
        <w:color w:val="582C8D"/>
        <w:lang w:val="en-GB" w:eastAsia="en-GB"/>
      </w:rPr>
      <w:drawing>
        <wp:anchor distT="0" distB="0" distL="114300" distR="114300" simplePos="0" relativeHeight="251661312" behindDoc="0" locked="0" layoutInCell="1" allowOverlap="1" wp14:anchorId="39DC8800" wp14:editId="13D270BB">
          <wp:simplePos x="0" y="0"/>
          <wp:positionH relativeFrom="column">
            <wp:posOffset>5109845</wp:posOffset>
          </wp:positionH>
          <wp:positionV relativeFrom="paragraph">
            <wp:posOffset>-31750</wp:posOffset>
          </wp:positionV>
          <wp:extent cx="1387475" cy="981075"/>
          <wp:effectExtent l="0" t="0" r="0" b="0"/>
          <wp:wrapTopAndBottom/>
          <wp:docPr id="12" name="Picture 12" descr="F:\Master - Comms\Brand\Logos\MRF Master Logos\PNGs\Meningitis_RGB_Purple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ster - Comms\Brand\Logos\MRF Master Logos\PNGs\Meningitis_RGB_Purple_Master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16A20"/>
    <w:multiLevelType w:val="hybridMultilevel"/>
    <w:tmpl w:val="11B0DB48"/>
    <w:lvl w:ilvl="0" w:tplc="A3846CDC">
      <w:start w:val="1"/>
      <w:numFmt w:val="bullet"/>
      <w:lvlText w:val="o"/>
      <w:lvlJc w:val="left"/>
      <w:pPr>
        <w:ind w:left="1440" w:hanging="360"/>
      </w:pPr>
      <w:rPr>
        <w:rFonts w:hint="default" w:ascii="Courier New" w:hAnsi="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194A6723"/>
    <w:multiLevelType w:val="hybridMultilevel"/>
    <w:tmpl w:val="0FA0DC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9CF4261"/>
    <w:multiLevelType w:val="hybridMultilevel"/>
    <w:tmpl w:val="6AF6FEE2"/>
    <w:lvl w:ilvl="0" w:tplc="A3846CD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1B0536B6"/>
    <w:multiLevelType w:val="hybridMultilevel"/>
    <w:tmpl w:val="63D43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C8C597E"/>
    <w:multiLevelType w:val="hybridMultilevel"/>
    <w:tmpl w:val="B8EE1FD4"/>
    <w:lvl w:ilvl="0" w:tplc="1E6C8750">
      <w:start w:val="1"/>
      <w:numFmt w:val="bullet"/>
      <w:pStyle w:val="BulletMike"/>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F42CF8"/>
    <w:multiLevelType w:val="hybridMultilevel"/>
    <w:tmpl w:val="D10C4324"/>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8" w15:restartNumberingAfterBreak="0">
    <w:nsid w:val="21F60761"/>
    <w:multiLevelType w:val="hybridMultilevel"/>
    <w:tmpl w:val="7FFEB4E8"/>
    <w:lvl w:ilvl="0" w:tplc="A3846CDC">
      <w:start w:val="1"/>
      <w:numFmt w:val="bullet"/>
      <w:lvlText w:val="o"/>
      <w:lvlJc w:val="left"/>
      <w:pPr>
        <w:ind w:left="720" w:hanging="360"/>
      </w:pPr>
      <w:rPr>
        <w:rFonts w:hint="default" w:ascii="Courier New" w:hAnsi="Courier New"/>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607423"/>
    <w:multiLevelType w:val="hybridMultilevel"/>
    <w:tmpl w:val="B25C2830"/>
    <w:lvl w:ilvl="0" w:tplc="1B2A64D4">
      <w:start w:val="1"/>
      <w:numFmt w:val="bullet"/>
      <w:pStyle w:val="Bulletmike0"/>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CF74E0C"/>
    <w:multiLevelType w:val="hybridMultilevel"/>
    <w:tmpl w:val="EAE04E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231D8"/>
    <w:multiLevelType w:val="hybridMultilevel"/>
    <w:tmpl w:val="0AF22CE4"/>
    <w:lvl w:ilvl="0" w:tplc="7B0606EC">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62F54BF"/>
    <w:multiLevelType w:val="hybridMultilevel"/>
    <w:tmpl w:val="E6EEF4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39663981"/>
    <w:multiLevelType w:val="hybridMultilevel"/>
    <w:tmpl w:val="7C5087D0"/>
    <w:lvl w:ilvl="0" w:tplc="08090001">
      <w:start w:val="1"/>
      <w:numFmt w:val="bullet"/>
      <w:lvlText w:val=""/>
      <w:lvlJc w:val="left"/>
      <w:pPr>
        <w:ind w:left="1800" w:hanging="360"/>
      </w:pPr>
      <w:rPr>
        <w:rFonts w:hint="default" w:ascii="Symbol" w:hAnsi="Symbol"/>
      </w:rPr>
    </w:lvl>
    <w:lvl w:ilvl="1" w:tplc="08090001">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5" w15:restartNumberingAfterBreak="0">
    <w:nsid w:val="3C3A2B13"/>
    <w:multiLevelType w:val="hybridMultilevel"/>
    <w:tmpl w:val="8AE85B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3E20226B"/>
    <w:multiLevelType w:val="hybridMultilevel"/>
    <w:tmpl w:val="56628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02209EC"/>
    <w:multiLevelType w:val="hybridMultilevel"/>
    <w:tmpl w:val="B7945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0507737"/>
    <w:multiLevelType w:val="hybridMultilevel"/>
    <w:tmpl w:val="786C4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0CC18AA"/>
    <w:multiLevelType w:val="hybridMultilevel"/>
    <w:tmpl w:val="25C2CFAC"/>
    <w:lvl w:ilvl="0" w:tplc="F40E845C">
      <w:numFmt w:val="bullet"/>
      <w:lvlText w:val="-"/>
      <w:lvlJc w:val="left"/>
      <w:pPr>
        <w:ind w:left="1080" w:hanging="360"/>
      </w:pPr>
      <w:rPr>
        <w:rFonts w:hint="default" w:ascii="Gill Sans MT" w:hAnsi="Gill Sans MT" w:eastAsiaTheme="minorEastAsia" w:cstheme="minorBidi"/>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4CCD1863"/>
    <w:multiLevelType w:val="hybridMultilevel"/>
    <w:tmpl w:val="AFAABC22"/>
    <w:lvl w:ilvl="0" w:tplc="0809000F">
      <w:start w:val="1"/>
      <w:numFmt w:val="decimal"/>
      <w:lvlText w:val="%1."/>
      <w:lvlJc w:val="left"/>
      <w:pPr>
        <w:ind w:left="720" w:hanging="360"/>
      </w:pPr>
      <w:rPr>
        <w:rFonts w:hint="default"/>
      </w:rPr>
    </w:lvl>
    <w:lvl w:ilvl="1" w:tplc="A3846CDC">
      <w:start w:val="1"/>
      <w:numFmt w:val="bullet"/>
      <w:lvlText w:val="o"/>
      <w:lvlJc w:val="left"/>
      <w:pPr>
        <w:ind w:left="1440" w:hanging="360"/>
      </w:pPr>
      <w:rPr>
        <w:rFonts w:hint="default" w:ascii="Courier New" w:hAnsi="Courier New"/>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936BDD"/>
    <w:multiLevelType w:val="hybridMultilevel"/>
    <w:tmpl w:val="7ADE3582"/>
    <w:lvl w:ilvl="0" w:tplc="A3846CDC">
      <w:start w:val="1"/>
      <w:numFmt w:val="bullet"/>
      <w:lvlText w:val="o"/>
      <w:lvlJc w:val="left"/>
      <w:pPr>
        <w:ind w:left="720" w:hanging="360"/>
      </w:pPr>
      <w:rPr>
        <w:rFonts w:hint="default" w:ascii="Courier New" w:hAnsi="Courier New"/>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805380"/>
    <w:multiLevelType w:val="hybridMultilevel"/>
    <w:tmpl w:val="198A4554"/>
    <w:lvl w:ilvl="0" w:tplc="B45A80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9E4A60"/>
    <w:multiLevelType w:val="hybridMultilevel"/>
    <w:tmpl w:val="B99E58C2"/>
    <w:lvl w:ilvl="0" w:tplc="08090001">
      <w:start w:val="1"/>
      <w:numFmt w:val="bullet"/>
      <w:lvlText w:val=""/>
      <w:lvlJc w:val="left"/>
      <w:pPr>
        <w:ind w:left="720" w:hanging="360"/>
      </w:pPr>
      <w:rPr>
        <w:rFonts w:hint="default" w:ascii="Symbol" w:hAnsi="Symbol"/>
      </w:rPr>
    </w:lvl>
    <w:lvl w:ilvl="1" w:tplc="84D0AA86">
      <w:numFmt w:val="bullet"/>
      <w:lvlText w:val="•"/>
      <w:lvlJc w:val="left"/>
      <w:pPr>
        <w:ind w:left="1644" w:hanging="564"/>
      </w:pPr>
      <w:rPr>
        <w:rFonts w:hint="default" w:ascii="Arial" w:hAnsi="Arial" w:cs="Arial" w:eastAsiaTheme="minorEastAsi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044A5A"/>
    <w:multiLevelType w:val="hybridMultilevel"/>
    <w:tmpl w:val="372AC1D2"/>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134CDF"/>
    <w:multiLevelType w:val="hybridMultilevel"/>
    <w:tmpl w:val="BC4AE1C0"/>
    <w:lvl w:ilvl="0" w:tplc="A3846CDC">
      <w:start w:val="1"/>
      <w:numFmt w:val="bullet"/>
      <w:lvlText w:val="o"/>
      <w:lvlJc w:val="left"/>
      <w:pPr>
        <w:ind w:left="720" w:hanging="360"/>
      </w:pPr>
      <w:rPr>
        <w:rFonts w:hint="default" w:ascii="Courier New" w:hAnsi="Courier New"/>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D1BAA"/>
    <w:multiLevelType w:val="hybridMultilevel"/>
    <w:tmpl w:val="1C3464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B43258"/>
    <w:multiLevelType w:val="hybridMultilevel"/>
    <w:tmpl w:val="53184A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CD41619"/>
    <w:multiLevelType w:val="hybridMultilevel"/>
    <w:tmpl w:val="92C4D132"/>
    <w:lvl w:ilvl="0" w:tplc="1B2A64D4">
      <w:start w:val="1"/>
      <w:numFmt w:val="bullet"/>
      <w:lvlText w:val=""/>
      <w:lvlJc w:val="left"/>
      <w:pPr>
        <w:ind w:left="360" w:hanging="360"/>
      </w:pPr>
      <w:rPr>
        <w:rFonts w:hint="default" w:ascii="Symbol" w:hAnsi="Symbol"/>
      </w:rPr>
    </w:lvl>
    <w:lvl w:ilvl="1" w:tplc="CADA853A">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E0608B8"/>
    <w:multiLevelType w:val="hybridMultilevel"/>
    <w:tmpl w:val="BA48E97A"/>
    <w:lvl w:ilvl="0" w:tplc="CFDE045C">
      <w:numFmt w:val="bullet"/>
      <w:lvlText w:val="-"/>
      <w:lvlJc w:val="left"/>
      <w:pPr>
        <w:ind w:left="360" w:hanging="360"/>
      </w:pPr>
      <w:rPr>
        <w:rFonts w:hint="default" w:ascii="Century Gothic" w:hAnsi="Century Gothic" w:eastAsiaTheme="minorEastAsia"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7EC05455"/>
    <w:multiLevelType w:val="hybridMultilevel"/>
    <w:tmpl w:val="1E38928A"/>
    <w:lvl w:ilvl="0" w:tplc="C51EA958">
      <w:numFmt w:val="bullet"/>
      <w:lvlText w:val=""/>
      <w:lvlJc w:val="left"/>
      <w:pPr>
        <w:ind w:left="720" w:hanging="360"/>
      </w:pPr>
      <w:rPr>
        <w:rFonts w:hint="default" w:ascii="Wingdings" w:hAnsi="Wingdings"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F99731B"/>
    <w:multiLevelType w:val="hybridMultilevel"/>
    <w:tmpl w:val="33A24E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462118898">
    <w:abstractNumId w:val="40"/>
  </w:num>
  <w:num w:numId="2" w16cid:durableId="2117822535">
    <w:abstractNumId w:val="41"/>
  </w:num>
  <w:num w:numId="3" w16cid:durableId="105279014">
    <w:abstractNumId w:val="28"/>
  </w:num>
  <w:num w:numId="4" w16cid:durableId="1232035209">
    <w:abstractNumId w:val="16"/>
  </w:num>
  <w:num w:numId="5" w16cid:durableId="164244995">
    <w:abstractNumId w:val="27"/>
  </w:num>
  <w:num w:numId="6" w16cid:durableId="1649432103">
    <w:abstractNumId w:val="34"/>
  </w:num>
  <w:num w:numId="7" w16cid:durableId="1409963044">
    <w:abstractNumId w:val="29"/>
  </w:num>
  <w:num w:numId="8" w16cid:durableId="6567638">
    <w:abstractNumId w:val="11"/>
  </w:num>
  <w:num w:numId="9" w16cid:durableId="828180203">
    <w:abstractNumId w:val="15"/>
  </w:num>
  <w:num w:numId="10" w16cid:durableId="914893768">
    <w:abstractNumId w:val="26"/>
  </w:num>
  <w:num w:numId="11" w16cid:durableId="528840854">
    <w:abstractNumId w:val="9"/>
  </w:num>
  <w:num w:numId="12" w16cid:durableId="210657760">
    <w:abstractNumId w:val="7"/>
  </w:num>
  <w:num w:numId="13" w16cid:durableId="1582567950">
    <w:abstractNumId w:val="6"/>
  </w:num>
  <w:num w:numId="14" w16cid:durableId="372080140">
    <w:abstractNumId w:val="5"/>
  </w:num>
  <w:num w:numId="15" w16cid:durableId="1211727269">
    <w:abstractNumId w:val="4"/>
  </w:num>
  <w:num w:numId="16" w16cid:durableId="463892684">
    <w:abstractNumId w:val="8"/>
  </w:num>
  <w:num w:numId="17" w16cid:durableId="1427507051">
    <w:abstractNumId w:val="3"/>
  </w:num>
  <w:num w:numId="18" w16cid:durableId="1481384136">
    <w:abstractNumId w:val="2"/>
  </w:num>
  <w:num w:numId="19" w16cid:durableId="313604568">
    <w:abstractNumId w:val="1"/>
  </w:num>
  <w:num w:numId="20" w16cid:durableId="2090346149">
    <w:abstractNumId w:val="0"/>
  </w:num>
  <w:num w:numId="21" w16cid:durableId="641816292">
    <w:abstractNumId w:val="25"/>
  </w:num>
  <w:num w:numId="22" w16cid:durableId="274018102">
    <w:abstractNumId w:val="20"/>
  </w:num>
  <w:num w:numId="23" w16cid:durableId="1122263047">
    <w:abstractNumId w:val="19"/>
  </w:num>
  <w:num w:numId="24" w16cid:durableId="1356809534">
    <w:abstractNumId w:val="38"/>
  </w:num>
  <w:num w:numId="25" w16cid:durableId="9071228">
    <w:abstractNumId w:val="22"/>
  </w:num>
  <w:num w:numId="26" w16cid:durableId="46537921">
    <w:abstractNumId w:val="16"/>
  </w:num>
  <w:num w:numId="27" w16cid:durableId="25567457">
    <w:abstractNumId w:val="16"/>
  </w:num>
  <w:num w:numId="28" w16cid:durableId="1979843082">
    <w:abstractNumId w:val="16"/>
  </w:num>
  <w:num w:numId="29" w16cid:durableId="1782187567">
    <w:abstractNumId w:val="16"/>
  </w:num>
  <w:num w:numId="30" w16cid:durableId="1376468087">
    <w:abstractNumId w:val="33"/>
  </w:num>
  <w:num w:numId="31" w16cid:durableId="1499418348">
    <w:abstractNumId w:val="37"/>
  </w:num>
  <w:num w:numId="32" w16cid:durableId="2053461630">
    <w:abstractNumId w:val="10"/>
  </w:num>
  <w:num w:numId="33" w16cid:durableId="1174540360">
    <w:abstractNumId w:val="23"/>
  </w:num>
  <w:num w:numId="34" w16cid:durableId="2011983478">
    <w:abstractNumId w:val="30"/>
  </w:num>
  <w:num w:numId="35" w16cid:durableId="147871008">
    <w:abstractNumId w:val="21"/>
  </w:num>
  <w:num w:numId="36" w16cid:durableId="475875413">
    <w:abstractNumId w:val="39"/>
  </w:num>
  <w:num w:numId="37" w16cid:durableId="776679789">
    <w:abstractNumId w:val="32"/>
  </w:num>
  <w:num w:numId="38" w16cid:durableId="636758051">
    <w:abstractNumId w:val="12"/>
  </w:num>
  <w:num w:numId="39" w16cid:durableId="922299824">
    <w:abstractNumId w:val="18"/>
  </w:num>
  <w:num w:numId="40" w16cid:durableId="706032664">
    <w:abstractNumId w:val="36"/>
  </w:num>
  <w:num w:numId="41" w16cid:durableId="1502617782">
    <w:abstractNumId w:val="14"/>
  </w:num>
  <w:num w:numId="42" w16cid:durableId="1645886012">
    <w:abstractNumId w:val="31"/>
  </w:num>
  <w:num w:numId="43" w16cid:durableId="514198692">
    <w:abstractNumId w:val="13"/>
  </w:num>
  <w:num w:numId="44" w16cid:durableId="1611088043">
    <w:abstractNumId w:val="35"/>
  </w:num>
  <w:num w:numId="45" w16cid:durableId="32702697">
    <w:abstractNumId w:val="42"/>
  </w:num>
  <w:num w:numId="46" w16cid:durableId="565533700">
    <w:abstractNumId w:val="17"/>
  </w:num>
  <w:num w:numId="47" w16cid:durableId="1131946113">
    <w:abstractNumId w:val="24"/>
  </w:num>
  <w:num w:numId="48" w16cid:durableId="47458811">
    <w:abstractNumId w:val="19"/>
  </w:num>
  <w:num w:numId="49" w16cid:durableId="1538835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6"/>
    <w:rsid w:val="0000182D"/>
    <w:rsid w:val="00001B02"/>
    <w:rsid w:val="00016AEB"/>
    <w:rsid w:val="0004154F"/>
    <w:rsid w:val="000604E0"/>
    <w:rsid w:val="00061EAC"/>
    <w:rsid w:val="00062A25"/>
    <w:rsid w:val="00067842"/>
    <w:rsid w:val="000679BB"/>
    <w:rsid w:val="00074BC7"/>
    <w:rsid w:val="00075B0C"/>
    <w:rsid w:val="00081B3A"/>
    <w:rsid w:val="00082A8E"/>
    <w:rsid w:val="00083FBB"/>
    <w:rsid w:val="000A7B45"/>
    <w:rsid w:val="000C3616"/>
    <w:rsid w:val="000D21D1"/>
    <w:rsid w:val="000D2AC9"/>
    <w:rsid w:val="000D3FAF"/>
    <w:rsid w:val="000F1326"/>
    <w:rsid w:val="000F18AB"/>
    <w:rsid w:val="000F4833"/>
    <w:rsid w:val="001058C1"/>
    <w:rsid w:val="00111E3B"/>
    <w:rsid w:val="00117156"/>
    <w:rsid w:val="00122C8C"/>
    <w:rsid w:val="00123AF6"/>
    <w:rsid w:val="00127DD4"/>
    <w:rsid w:val="001306B6"/>
    <w:rsid w:val="00132EF5"/>
    <w:rsid w:val="001346B1"/>
    <w:rsid w:val="00136B67"/>
    <w:rsid w:val="00141829"/>
    <w:rsid w:val="001423B1"/>
    <w:rsid w:val="001442A8"/>
    <w:rsid w:val="00156F34"/>
    <w:rsid w:val="00157CFE"/>
    <w:rsid w:val="00172C5A"/>
    <w:rsid w:val="00180367"/>
    <w:rsid w:val="0018334E"/>
    <w:rsid w:val="00187CF8"/>
    <w:rsid w:val="00194D5B"/>
    <w:rsid w:val="001B790E"/>
    <w:rsid w:val="001D16D2"/>
    <w:rsid w:val="001D4137"/>
    <w:rsid w:val="001D6742"/>
    <w:rsid w:val="001D79CB"/>
    <w:rsid w:val="001E0010"/>
    <w:rsid w:val="001F16C9"/>
    <w:rsid w:val="001F1804"/>
    <w:rsid w:val="001F33C5"/>
    <w:rsid w:val="001F4EFB"/>
    <w:rsid w:val="0021693D"/>
    <w:rsid w:val="00216E7D"/>
    <w:rsid w:val="0022307C"/>
    <w:rsid w:val="00230A93"/>
    <w:rsid w:val="00232A8A"/>
    <w:rsid w:val="00233949"/>
    <w:rsid w:val="00235648"/>
    <w:rsid w:val="00241FCF"/>
    <w:rsid w:val="00243139"/>
    <w:rsid w:val="00255095"/>
    <w:rsid w:val="002558AB"/>
    <w:rsid w:val="00260B01"/>
    <w:rsid w:val="002671A8"/>
    <w:rsid w:val="00273BA7"/>
    <w:rsid w:val="002852F7"/>
    <w:rsid w:val="00287C93"/>
    <w:rsid w:val="00290828"/>
    <w:rsid w:val="00291B76"/>
    <w:rsid w:val="002933FD"/>
    <w:rsid w:val="00295F1C"/>
    <w:rsid w:val="002A088F"/>
    <w:rsid w:val="002A1D7F"/>
    <w:rsid w:val="002A3F45"/>
    <w:rsid w:val="002C78B3"/>
    <w:rsid w:val="002D2939"/>
    <w:rsid w:val="002D2DA9"/>
    <w:rsid w:val="002D393A"/>
    <w:rsid w:val="002D509D"/>
    <w:rsid w:val="002E02C7"/>
    <w:rsid w:val="002E14A9"/>
    <w:rsid w:val="002E3B7F"/>
    <w:rsid w:val="002E3D3A"/>
    <w:rsid w:val="002F4BBF"/>
    <w:rsid w:val="002F58BE"/>
    <w:rsid w:val="00304A8E"/>
    <w:rsid w:val="00312612"/>
    <w:rsid w:val="00316113"/>
    <w:rsid w:val="003207AC"/>
    <w:rsid w:val="00334D30"/>
    <w:rsid w:val="00335FF2"/>
    <w:rsid w:val="00346275"/>
    <w:rsid w:val="003477F3"/>
    <w:rsid w:val="00356381"/>
    <w:rsid w:val="00360E31"/>
    <w:rsid w:val="00365D66"/>
    <w:rsid w:val="00366510"/>
    <w:rsid w:val="0037066C"/>
    <w:rsid w:val="00374E5F"/>
    <w:rsid w:val="00385BE4"/>
    <w:rsid w:val="00387F54"/>
    <w:rsid w:val="00395898"/>
    <w:rsid w:val="00396F0C"/>
    <w:rsid w:val="003B4450"/>
    <w:rsid w:val="003B6190"/>
    <w:rsid w:val="003C4E37"/>
    <w:rsid w:val="003D29BA"/>
    <w:rsid w:val="003D64D3"/>
    <w:rsid w:val="003D68B0"/>
    <w:rsid w:val="003E1C9E"/>
    <w:rsid w:val="003E73F5"/>
    <w:rsid w:val="003F0D8B"/>
    <w:rsid w:val="003F1539"/>
    <w:rsid w:val="00413E90"/>
    <w:rsid w:val="00414F9E"/>
    <w:rsid w:val="004241EF"/>
    <w:rsid w:val="004249FE"/>
    <w:rsid w:val="004300F3"/>
    <w:rsid w:val="00430894"/>
    <w:rsid w:val="00453DA3"/>
    <w:rsid w:val="004544FD"/>
    <w:rsid w:val="00461429"/>
    <w:rsid w:val="00467E04"/>
    <w:rsid w:val="00474C1E"/>
    <w:rsid w:val="00477D30"/>
    <w:rsid w:val="00483D97"/>
    <w:rsid w:val="004872A7"/>
    <w:rsid w:val="004902E3"/>
    <w:rsid w:val="00490473"/>
    <w:rsid w:val="00490930"/>
    <w:rsid w:val="00496BEC"/>
    <w:rsid w:val="004A1706"/>
    <w:rsid w:val="004B1E6A"/>
    <w:rsid w:val="004B3127"/>
    <w:rsid w:val="004B3662"/>
    <w:rsid w:val="004C4472"/>
    <w:rsid w:val="004C7353"/>
    <w:rsid w:val="004D1357"/>
    <w:rsid w:val="004D52C1"/>
    <w:rsid w:val="004E15D3"/>
    <w:rsid w:val="004E774D"/>
    <w:rsid w:val="00501C34"/>
    <w:rsid w:val="0050228B"/>
    <w:rsid w:val="00516128"/>
    <w:rsid w:val="00516FF1"/>
    <w:rsid w:val="00524A26"/>
    <w:rsid w:val="00533C77"/>
    <w:rsid w:val="005507B6"/>
    <w:rsid w:val="00550BB1"/>
    <w:rsid w:val="0055187E"/>
    <w:rsid w:val="005600DF"/>
    <w:rsid w:val="00561608"/>
    <w:rsid w:val="00566A1A"/>
    <w:rsid w:val="00581E86"/>
    <w:rsid w:val="005A4F30"/>
    <w:rsid w:val="005A60B9"/>
    <w:rsid w:val="005B206A"/>
    <w:rsid w:val="005B29EB"/>
    <w:rsid w:val="005C23D8"/>
    <w:rsid w:val="005C7EC3"/>
    <w:rsid w:val="005D29A6"/>
    <w:rsid w:val="005E2D4C"/>
    <w:rsid w:val="005E5EB2"/>
    <w:rsid w:val="0060111C"/>
    <w:rsid w:val="006102A2"/>
    <w:rsid w:val="00613BF7"/>
    <w:rsid w:val="00635223"/>
    <w:rsid w:val="006372CE"/>
    <w:rsid w:val="00642D9B"/>
    <w:rsid w:val="006433E2"/>
    <w:rsid w:val="00644E34"/>
    <w:rsid w:val="0066104F"/>
    <w:rsid w:val="00672FF4"/>
    <w:rsid w:val="00673F40"/>
    <w:rsid w:val="00676DAC"/>
    <w:rsid w:val="00680778"/>
    <w:rsid w:val="006851C9"/>
    <w:rsid w:val="00686EE9"/>
    <w:rsid w:val="00687EBB"/>
    <w:rsid w:val="00692B31"/>
    <w:rsid w:val="0069329D"/>
    <w:rsid w:val="006A2DE9"/>
    <w:rsid w:val="006A52BC"/>
    <w:rsid w:val="006B3DC6"/>
    <w:rsid w:val="006B5756"/>
    <w:rsid w:val="006C41E8"/>
    <w:rsid w:val="006D0F95"/>
    <w:rsid w:val="006D1862"/>
    <w:rsid w:val="006D2B18"/>
    <w:rsid w:val="006D319F"/>
    <w:rsid w:val="006D7140"/>
    <w:rsid w:val="006E16D3"/>
    <w:rsid w:val="006E1EA3"/>
    <w:rsid w:val="006E38AC"/>
    <w:rsid w:val="006F1ADF"/>
    <w:rsid w:val="007149CE"/>
    <w:rsid w:val="00723981"/>
    <w:rsid w:val="0073510A"/>
    <w:rsid w:val="00742297"/>
    <w:rsid w:val="007424B6"/>
    <w:rsid w:val="00752B68"/>
    <w:rsid w:val="00752B9B"/>
    <w:rsid w:val="00755170"/>
    <w:rsid w:val="00765208"/>
    <w:rsid w:val="0076694B"/>
    <w:rsid w:val="00773D93"/>
    <w:rsid w:val="00775656"/>
    <w:rsid w:val="00781A60"/>
    <w:rsid w:val="00794DD9"/>
    <w:rsid w:val="007A1D9F"/>
    <w:rsid w:val="007B44E7"/>
    <w:rsid w:val="007B6064"/>
    <w:rsid w:val="007B7B4A"/>
    <w:rsid w:val="007C170A"/>
    <w:rsid w:val="007C5967"/>
    <w:rsid w:val="007D02BC"/>
    <w:rsid w:val="007E07A9"/>
    <w:rsid w:val="007E69EC"/>
    <w:rsid w:val="007E748A"/>
    <w:rsid w:val="007F01B3"/>
    <w:rsid w:val="007F0BB4"/>
    <w:rsid w:val="007F1ABC"/>
    <w:rsid w:val="00803B87"/>
    <w:rsid w:val="00821B56"/>
    <w:rsid w:val="00825B43"/>
    <w:rsid w:val="00833771"/>
    <w:rsid w:val="00836197"/>
    <w:rsid w:val="00837CB5"/>
    <w:rsid w:val="0084141E"/>
    <w:rsid w:val="0085352B"/>
    <w:rsid w:val="008560CE"/>
    <w:rsid w:val="00861E39"/>
    <w:rsid w:val="00871F35"/>
    <w:rsid w:val="00886D3E"/>
    <w:rsid w:val="00892231"/>
    <w:rsid w:val="008944D3"/>
    <w:rsid w:val="00894A99"/>
    <w:rsid w:val="008B433A"/>
    <w:rsid w:val="008B68D9"/>
    <w:rsid w:val="008C6A95"/>
    <w:rsid w:val="008D5E7D"/>
    <w:rsid w:val="008D6225"/>
    <w:rsid w:val="008E4625"/>
    <w:rsid w:val="008F03A4"/>
    <w:rsid w:val="008F160C"/>
    <w:rsid w:val="00902F84"/>
    <w:rsid w:val="0091294C"/>
    <w:rsid w:val="009202ED"/>
    <w:rsid w:val="00920F19"/>
    <w:rsid w:val="0092169C"/>
    <w:rsid w:val="009371B9"/>
    <w:rsid w:val="00940D21"/>
    <w:rsid w:val="00940E68"/>
    <w:rsid w:val="00950B27"/>
    <w:rsid w:val="009544E5"/>
    <w:rsid w:val="009614E2"/>
    <w:rsid w:val="00962906"/>
    <w:rsid w:val="00963523"/>
    <w:rsid w:val="00965078"/>
    <w:rsid w:val="00966D87"/>
    <w:rsid w:val="00967C45"/>
    <w:rsid w:val="00975F53"/>
    <w:rsid w:val="00991E02"/>
    <w:rsid w:val="00992ED0"/>
    <w:rsid w:val="00993BE0"/>
    <w:rsid w:val="00996441"/>
    <w:rsid w:val="0099768B"/>
    <w:rsid w:val="009A2FF2"/>
    <w:rsid w:val="009B7C9F"/>
    <w:rsid w:val="009C1B70"/>
    <w:rsid w:val="009D50B8"/>
    <w:rsid w:val="009D7090"/>
    <w:rsid w:val="009D7755"/>
    <w:rsid w:val="009F3F81"/>
    <w:rsid w:val="00A05DD0"/>
    <w:rsid w:val="00A109D0"/>
    <w:rsid w:val="00A22FB5"/>
    <w:rsid w:val="00A3292E"/>
    <w:rsid w:val="00A33E5A"/>
    <w:rsid w:val="00A5112C"/>
    <w:rsid w:val="00A519EA"/>
    <w:rsid w:val="00A52B12"/>
    <w:rsid w:val="00A53BD6"/>
    <w:rsid w:val="00A572DC"/>
    <w:rsid w:val="00A574D8"/>
    <w:rsid w:val="00A6074A"/>
    <w:rsid w:val="00A656EE"/>
    <w:rsid w:val="00A6666E"/>
    <w:rsid w:val="00A67C2C"/>
    <w:rsid w:val="00A73A3B"/>
    <w:rsid w:val="00A83DA8"/>
    <w:rsid w:val="00A85C91"/>
    <w:rsid w:val="00A9511C"/>
    <w:rsid w:val="00A95327"/>
    <w:rsid w:val="00AA2642"/>
    <w:rsid w:val="00AA6D34"/>
    <w:rsid w:val="00AA751C"/>
    <w:rsid w:val="00AB5416"/>
    <w:rsid w:val="00AC6692"/>
    <w:rsid w:val="00AE394B"/>
    <w:rsid w:val="00AE46CE"/>
    <w:rsid w:val="00AF4EE8"/>
    <w:rsid w:val="00AF7ECA"/>
    <w:rsid w:val="00B01155"/>
    <w:rsid w:val="00B04F56"/>
    <w:rsid w:val="00B05ED2"/>
    <w:rsid w:val="00B22E7E"/>
    <w:rsid w:val="00B266A0"/>
    <w:rsid w:val="00B305DF"/>
    <w:rsid w:val="00B31034"/>
    <w:rsid w:val="00B43823"/>
    <w:rsid w:val="00B50F5E"/>
    <w:rsid w:val="00B5288D"/>
    <w:rsid w:val="00B57EB6"/>
    <w:rsid w:val="00B609A6"/>
    <w:rsid w:val="00B62190"/>
    <w:rsid w:val="00B64855"/>
    <w:rsid w:val="00B70761"/>
    <w:rsid w:val="00B74263"/>
    <w:rsid w:val="00B83EE6"/>
    <w:rsid w:val="00B844C9"/>
    <w:rsid w:val="00B8516D"/>
    <w:rsid w:val="00B936E8"/>
    <w:rsid w:val="00B95ADC"/>
    <w:rsid w:val="00BA0C4B"/>
    <w:rsid w:val="00BA3748"/>
    <w:rsid w:val="00BB36BA"/>
    <w:rsid w:val="00BB78C0"/>
    <w:rsid w:val="00BC54F6"/>
    <w:rsid w:val="00BC5AD6"/>
    <w:rsid w:val="00BD1F33"/>
    <w:rsid w:val="00BE02B2"/>
    <w:rsid w:val="00BE7EE1"/>
    <w:rsid w:val="00BF48B0"/>
    <w:rsid w:val="00BF7215"/>
    <w:rsid w:val="00C0003F"/>
    <w:rsid w:val="00C00838"/>
    <w:rsid w:val="00C00931"/>
    <w:rsid w:val="00C046F4"/>
    <w:rsid w:val="00C23C50"/>
    <w:rsid w:val="00C3552B"/>
    <w:rsid w:val="00C362E0"/>
    <w:rsid w:val="00C408A6"/>
    <w:rsid w:val="00C418FA"/>
    <w:rsid w:val="00C458C5"/>
    <w:rsid w:val="00C4665D"/>
    <w:rsid w:val="00C47F0E"/>
    <w:rsid w:val="00C51636"/>
    <w:rsid w:val="00C52CCA"/>
    <w:rsid w:val="00C6565F"/>
    <w:rsid w:val="00C71C55"/>
    <w:rsid w:val="00C7453B"/>
    <w:rsid w:val="00C766F0"/>
    <w:rsid w:val="00C77457"/>
    <w:rsid w:val="00C81AB0"/>
    <w:rsid w:val="00C81F5F"/>
    <w:rsid w:val="00C84E5C"/>
    <w:rsid w:val="00C86192"/>
    <w:rsid w:val="00C9628B"/>
    <w:rsid w:val="00CA10C6"/>
    <w:rsid w:val="00CA19A0"/>
    <w:rsid w:val="00CB24AE"/>
    <w:rsid w:val="00CB34D1"/>
    <w:rsid w:val="00CB3B33"/>
    <w:rsid w:val="00CC7A55"/>
    <w:rsid w:val="00CC7AD1"/>
    <w:rsid w:val="00CC7D4A"/>
    <w:rsid w:val="00CD0ADC"/>
    <w:rsid w:val="00CD1623"/>
    <w:rsid w:val="00CD3CB6"/>
    <w:rsid w:val="00CD416B"/>
    <w:rsid w:val="00CD4523"/>
    <w:rsid w:val="00CE3014"/>
    <w:rsid w:val="00CE53B0"/>
    <w:rsid w:val="00CE5D38"/>
    <w:rsid w:val="00CF513A"/>
    <w:rsid w:val="00D00F95"/>
    <w:rsid w:val="00D00FBC"/>
    <w:rsid w:val="00D014B8"/>
    <w:rsid w:val="00D047FA"/>
    <w:rsid w:val="00D119F6"/>
    <w:rsid w:val="00D143FD"/>
    <w:rsid w:val="00D17C16"/>
    <w:rsid w:val="00D25B40"/>
    <w:rsid w:val="00D2661C"/>
    <w:rsid w:val="00D27252"/>
    <w:rsid w:val="00D329E6"/>
    <w:rsid w:val="00D45326"/>
    <w:rsid w:val="00D52A2E"/>
    <w:rsid w:val="00D65F2D"/>
    <w:rsid w:val="00D674DF"/>
    <w:rsid w:val="00D71116"/>
    <w:rsid w:val="00D77B9C"/>
    <w:rsid w:val="00D81A38"/>
    <w:rsid w:val="00D85903"/>
    <w:rsid w:val="00D90601"/>
    <w:rsid w:val="00D94AC2"/>
    <w:rsid w:val="00D9593A"/>
    <w:rsid w:val="00D95C9D"/>
    <w:rsid w:val="00D975EA"/>
    <w:rsid w:val="00DA08F0"/>
    <w:rsid w:val="00DA2451"/>
    <w:rsid w:val="00DA25FB"/>
    <w:rsid w:val="00DA7C64"/>
    <w:rsid w:val="00DC5F63"/>
    <w:rsid w:val="00DE062B"/>
    <w:rsid w:val="00DE26F8"/>
    <w:rsid w:val="00DE72C4"/>
    <w:rsid w:val="00DE7DFA"/>
    <w:rsid w:val="00DF0E6A"/>
    <w:rsid w:val="00DF7EC6"/>
    <w:rsid w:val="00E01637"/>
    <w:rsid w:val="00E06964"/>
    <w:rsid w:val="00E12710"/>
    <w:rsid w:val="00E16D57"/>
    <w:rsid w:val="00E26393"/>
    <w:rsid w:val="00E30442"/>
    <w:rsid w:val="00E32210"/>
    <w:rsid w:val="00E41130"/>
    <w:rsid w:val="00E524C2"/>
    <w:rsid w:val="00E544A1"/>
    <w:rsid w:val="00E569F5"/>
    <w:rsid w:val="00E62609"/>
    <w:rsid w:val="00E6374D"/>
    <w:rsid w:val="00E657B6"/>
    <w:rsid w:val="00E671FB"/>
    <w:rsid w:val="00E67752"/>
    <w:rsid w:val="00E7164B"/>
    <w:rsid w:val="00E71B9A"/>
    <w:rsid w:val="00E7492C"/>
    <w:rsid w:val="00E754EE"/>
    <w:rsid w:val="00E75645"/>
    <w:rsid w:val="00E76023"/>
    <w:rsid w:val="00E961D6"/>
    <w:rsid w:val="00E962CB"/>
    <w:rsid w:val="00EA25AF"/>
    <w:rsid w:val="00EB28B6"/>
    <w:rsid w:val="00EB35E1"/>
    <w:rsid w:val="00EB3F1F"/>
    <w:rsid w:val="00EC578E"/>
    <w:rsid w:val="00EC7E85"/>
    <w:rsid w:val="00EE3BC3"/>
    <w:rsid w:val="00EF03EE"/>
    <w:rsid w:val="00EF529D"/>
    <w:rsid w:val="00EF54A4"/>
    <w:rsid w:val="00F14C0E"/>
    <w:rsid w:val="00F15F64"/>
    <w:rsid w:val="00F21281"/>
    <w:rsid w:val="00F22C03"/>
    <w:rsid w:val="00F25425"/>
    <w:rsid w:val="00F274CF"/>
    <w:rsid w:val="00F31E2C"/>
    <w:rsid w:val="00F40AA5"/>
    <w:rsid w:val="00F40EA7"/>
    <w:rsid w:val="00F4298F"/>
    <w:rsid w:val="00F44724"/>
    <w:rsid w:val="00F46EA5"/>
    <w:rsid w:val="00F47286"/>
    <w:rsid w:val="00F5753E"/>
    <w:rsid w:val="00F5781A"/>
    <w:rsid w:val="00F607B5"/>
    <w:rsid w:val="00F628DE"/>
    <w:rsid w:val="00F65271"/>
    <w:rsid w:val="00F67B8B"/>
    <w:rsid w:val="00F72567"/>
    <w:rsid w:val="00F767DB"/>
    <w:rsid w:val="00F81204"/>
    <w:rsid w:val="00F845B9"/>
    <w:rsid w:val="00F8695B"/>
    <w:rsid w:val="00F908B5"/>
    <w:rsid w:val="00F97E3A"/>
    <w:rsid w:val="00FA5A34"/>
    <w:rsid w:val="00FA7BE0"/>
    <w:rsid w:val="00FC02E4"/>
    <w:rsid w:val="00FC19EB"/>
    <w:rsid w:val="00FC2160"/>
    <w:rsid w:val="00FD22D2"/>
    <w:rsid w:val="00FD4988"/>
    <w:rsid w:val="00FD4BC0"/>
    <w:rsid w:val="00FE3AA7"/>
    <w:rsid w:val="00FE797B"/>
    <w:rsid w:val="00FF0CC2"/>
    <w:rsid w:val="00FF26A1"/>
    <w:rsid w:val="00FF3FFA"/>
    <w:rsid w:val="0489978D"/>
    <w:rsid w:val="0CDA8751"/>
    <w:rsid w:val="1608FBF2"/>
    <w:rsid w:val="2714759D"/>
    <w:rsid w:val="4392D931"/>
    <w:rsid w:val="6732C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E016"/>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404040"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hAnsiTheme="majorHAnsi" w:eastAsiaTheme="majorEastAsia"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hAnsiTheme="majorHAnsi" w:eastAsiaTheme="majorEastAsia"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hAnsiTheme="majorHAnsi" w:eastAsiaTheme="majorEastAsia"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hAnsiTheme="majorHAnsi" w:eastAsiaTheme="majorEastAsia"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hAnsiTheme="majorHAnsi" w:eastAsiaTheme="majorEastAsia" w:cstheme="majorBidi"/>
      <w:b/>
      <w:bCs/>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semiHidden/>
    <w:qFormat/>
    <w:rPr>
      <w:i/>
      <w:iCs/>
      <w:color w:val="000000" w:themeColor="text1"/>
    </w:rPr>
  </w:style>
  <w:style w:type="character" w:styleId="Heading1Char" w:customStyle="1">
    <w:name w:val="Heading 1 Char"/>
    <w:basedOn w:val="DefaultParagraphFont"/>
    <w:link w:val="Heading1"/>
    <w:rsid w:val="008D5E7D"/>
    <w:rPr>
      <w:rFonts w:ascii="Arial" w:hAnsi="Arial" w:eastAsiaTheme="majorEastAsia" w:cstheme="majorBidi"/>
      <w:color w:val="582C83"/>
      <w:sz w:val="28"/>
      <w:szCs w:val="28"/>
    </w:rPr>
  </w:style>
  <w:style w:type="character" w:styleId="Heading2Char" w:customStyle="1">
    <w:name w:val="Heading 2 Char"/>
    <w:basedOn w:val="DefaultParagraphFont"/>
    <w:link w:val="Heading2"/>
    <w:uiPriority w:val="1"/>
    <w:rsid w:val="008D5E7D"/>
    <w:rPr>
      <w:rFonts w:ascii="Arial" w:hAnsi="Arial" w:eastAsiaTheme="majorEastAsia" w:cstheme="majorBidi"/>
      <w:color w:val="00A3AD"/>
      <w:sz w:val="24"/>
      <w:szCs w:val="24"/>
    </w:rPr>
  </w:style>
  <w:style w:type="character" w:styleId="Heading3Char" w:customStyle="1">
    <w:name w:val="Heading 3 Char"/>
    <w:basedOn w:val="DefaultParagraphFont"/>
    <w:link w:val="Heading3"/>
    <w:uiPriority w:val="2"/>
    <w:rsid w:val="00803B87"/>
    <w:rPr>
      <w:rFonts w:ascii="Arial" w:hAnsi="Arial" w:eastAsiaTheme="majorEastAsia" w:cstheme="majorBidi"/>
      <w:color w:val="404040" w:themeColor="text1" w:themeTint="BF"/>
      <w:sz w:val="22"/>
      <w:szCs w:val="22"/>
    </w:rPr>
  </w:style>
  <w:style w:type="character" w:styleId="Heading4Char" w:customStyle="1">
    <w:name w:val="Heading 4 Char"/>
    <w:basedOn w:val="DefaultParagraphFont"/>
    <w:link w:val="Heading4"/>
    <w:uiPriority w:val="9"/>
    <w:rsid w:val="002F4BBF"/>
    <w:rPr>
      <w:rFonts w:ascii="Arial" w:hAnsi="Arial"/>
      <w:b/>
      <w:sz w:val="20"/>
    </w:rPr>
  </w:style>
  <w:style w:type="character" w:styleId="Heading5Char" w:customStyle="1">
    <w:name w:val="Heading 5 Char"/>
    <w:basedOn w:val="DefaultParagraphFont"/>
    <w:link w:val="Heading5"/>
    <w:uiPriority w:val="10"/>
    <w:semiHidden/>
    <w:rsid w:val="00187CF8"/>
    <w:rPr>
      <w:rFonts w:asciiTheme="majorHAnsi" w:hAnsiTheme="majorHAnsi" w:eastAsiaTheme="majorEastAsia" w:cstheme="majorBidi"/>
      <w:sz w:val="20"/>
      <w:szCs w:val="20"/>
    </w:rPr>
  </w:style>
  <w:style w:type="character" w:styleId="Heading6Char" w:customStyle="1">
    <w:name w:val="Heading 6 Char"/>
    <w:basedOn w:val="DefaultParagraphFont"/>
    <w:link w:val="Heading6"/>
    <w:uiPriority w:val="9"/>
    <w:semiHidden/>
    <w:rsid w:val="00187CF8"/>
    <w:rPr>
      <w:rFonts w:asciiTheme="majorHAnsi" w:hAnsiTheme="majorHAnsi" w:eastAsiaTheme="majorEastAsia" w:cstheme="majorBidi"/>
      <w:b/>
      <w:bCs/>
      <w:i/>
      <w:iCs/>
      <w:sz w:val="20"/>
      <w:szCs w:val="20"/>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000000" w:themeColor="text1"/>
      <w:sz w:val="20"/>
      <w:szCs w:val="2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b/>
      <w:bCs/>
      <w:color w:val="000000" w:themeColor="text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color="301D7D" w:themeColor="accent1" w:sz="36" w:space="4"/>
      </w:pBdr>
      <w:spacing w:before="100" w:beforeAutospacing="1"/>
      <w:ind w:left="1224" w:right="1224"/>
    </w:pPr>
    <w:rPr>
      <w:color w:val="301D7D" w:themeColor="accent1"/>
      <w:sz w:val="28"/>
      <w:szCs w:val="28"/>
    </w:rPr>
  </w:style>
  <w:style w:type="character" w:styleId="IntenseQuoteChar" w:customStyle="1">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styleId="NoSpacingChar" w:customStyle="1">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hAnsiTheme="majorHAnsi" w:eastAsiaTheme="majorEastAsia" w:cstheme="majorBidi"/>
    </w:rPr>
  </w:style>
  <w:style w:type="character" w:styleId="QuoteChar" w:customStyle="1">
    <w:name w:val="Quote Char"/>
    <w:basedOn w:val="DefaultParagraphFont"/>
    <w:link w:val="Quote"/>
    <w:uiPriority w:val="29"/>
    <w:semiHidden/>
    <w:rsid w:val="00F628DE"/>
    <w:rPr>
      <w:rFonts w:asciiTheme="majorHAnsi" w:hAnsiTheme="majorHAnsi" w:eastAsiaTheme="majorEastAsia"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styleId="SubtitleChar" w:customStyle="1">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hAnsiTheme="majorHAnsi" w:eastAsiaTheme="majorEastAsia" w:cstheme="majorBidi"/>
      <w:color w:val="301D7D" w:themeColor="accent1"/>
      <w:kern w:val="28"/>
      <w:sz w:val="72"/>
      <w:szCs w:val="72"/>
    </w:rPr>
  </w:style>
  <w:style w:type="character" w:styleId="TitleChar" w:customStyle="1">
    <w:name w:val="Title Char"/>
    <w:basedOn w:val="DefaultParagraphFont"/>
    <w:link w:val="Title"/>
    <w:uiPriority w:val="10"/>
    <w:semiHidden/>
    <w:rsid w:val="00187CF8"/>
    <w:rPr>
      <w:rFonts w:asciiTheme="majorHAnsi" w:hAnsiTheme="majorHAnsi" w:eastAsiaTheme="majorEastAsia" w:cstheme="majorBidi"/>
      <w:color w:val="301D7D"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F628DE"/>
    <w:rPr>
      <w:sz w:val="20"/>
    </w:rPr>
  </w:style>
  <w:style w:type="paragraph" w:styleId="BulletMike" w:customStyle="1">
    <w:name w:val="Bullet Mike"/>
    <w:basedOn w:val="Normal"/>
    <w:uiPriority w:val="4"/>
    <w:qFormat/>
    <w:rsid w:val="00C00931"/>
    <w:pPr>
      <w:numPr>
        <w:numId w:val="4"/>
      </w:numPr>
      <w:spacing w:before="0" w:after="0"/>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uiPriority w:val="5"/>
    <w:qFormat/>
    <w:rsid w:val="00DE062B"/>
    <w:pPr>
      <w:spacing w:after="0" w:line="240" w:lineRule="auto"/>
    </w:pPr>
    <w:rPr>
      <w:sz w:val="16"/>
      <w:szCs w:val="16"/>
    </w:rPr>
  </w:style>
  <w:style w:type="paragraph" w:styleId="Tablebullet" w:customStyle="1">
    <w:name w:val="Table bullet"/>
    <w:basedOn w:val="Tabletext"/>
    <w:uiPriority w:val="6"/>
    <w:qFormat/>
    <w:rsid w:val="00DE062B"/>
    <w:pPr>
      <w:numPr>
        <w:numId w:val="6"/>
      </w:numPr>
      <w:tabs>
        <w:tab w:val="clear" w:pos="567"/>
      </w:tabs>
    </w:pPr>
  </w:style>
  <w:style w:type="paragraph" w:styleId="Bullet" w:customStyle="1">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hAnsi="Calibri" w:cs="Times New Roman" w:eastAsiaTheme="minorHAnsi"/>
      <w:sz w:val="22"/>
      <w:szCs w:val="22"/>
      <w:lang w:val="en-GB" w:eastAsia="en-US"/>
    </w:rPr>
  </w:style>
  <w:style w:type="character" w:styleId="CommentReference">
    <w:name w:val="annotation reference"/>
    <w:basedOn w:val="DefaultParagraphFont"/>
    <w:uiPriority w:val="99"/>
    <w:semiHidden/>
    <w:unhideWhenUsed/>
    <w:rsid w:val="00EF529D"/>
    <w:rPr>
      <w:sz w:val="16"/>
      <w:szCs w:val="16"/>
    </w:rPr>
  </w:style>
  <w:style w:type="paragraph" w:styleId="CommentText">
    <w:name w:val="annotation text"/>
    <w:basedOn w:val="Normal"/>
    <w:link w:val="CommentTextChar"/>
    <w:uiPriority w:val="99"/>
    <w:unhideWhenUsed/>
    <w:rsid w:val="00EF529D"/>
    <w:pPr>
      <w:spacing w:line="240" w:lineRule="auto"/>
    </w:pPr>
    <w:rPr>
      <w:szCs w:val="20"/>
    </w:rPr>
  </w:style>
  <w:style w:type="character" w:styleId="CommentTextChar" w:customStyle="1">
    <w:name w:val="Comment Text Char"/>
    <w:basedOn w:val="DefaultParagraphFont"/>
    <w:link w:val="CommentText"/>
    <w:uiPriority w:val="99"/>
    <w:rsid w:val="00EF52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29D"/>
    <w:rPr>
      <w:b/>
      <w:bCs/>
    </w:rPr>
  </w:style>
  <w:style w:type="character" w:styleId="CommentSubjectChar" w:customStyle="1">
    <w:name w:val="Comment Subject Char"/>
    <w:basedOn w:val="CommentTextChar"/>
    <w:link w:val="CommentSubject"/>
    <w:uiPriority w:val="99"/>
    <w:semiHidden/>
    <w:rsid w:val="00EF529D"/>
    <w:rPr>
      <w:rFonts w:ascii="Arial" w:hAnsi="Arial"/>
      <w:b/>
      <w:bCs/>
      <w:sz w:val="20"/>
      <w:szCs w:val="20"/>
    </w:rPr>
  </w:style>
  <w:style w:type="paragraph" w:styleId="Bulletmike0" w:customStyle="1">
    <w:name w:val="Bullet(mike)"/>
    <w:basedOn w:val="Normal"/>
    <w:qFormat/>
    <w:rsid w:val="00122C8C"/>
    <w:pPr>
      <w:numPr>
        <w:numId w:val="23"/>
      </w:numPr>
      <w:tabs>
        <w:tab w:val="clear" w:pos="567"/>
        <w:tab w:val="center" w:pos="4253"/>
        <w:tab w:val="right" w:pos="8505"/>
      </w:tabs>
      <w:spacing w:before="60" w:after="0" w:line="280" w:lineRule="exact"/>
    </w:pPr>
    <w:rPr>
      <w:rFonts w:eastAsia="Times New Roman" w:cs="Arial"/>
      <w:szCs w:val="20"/>
      <w:lang w:val="en-GB" w:eastAsia="en-US"/>
    </w:rPr>
  </w:style>
  <w:style w:type="paragraph" w:styleId="FootnoteText">
    <w:name w:val="footnote text"/>
    <w:basedOn w:val="Normal"/>
    <w:link w:val="FootnoteTextChar"/>
    <w:rsid w:val="00117156"/>
    <w:pPr>
      <w:tabs>
        <w:tab w:val="clear" w:pos="567"/>
        <w:tab w:val="clear" w:pos="1134"/>
        <w:tab w:val="clear" w:pos="1701"/>
        <w:tab w:val="clear" w:pos="2268"/>
      </w:tabs>
      <w:spacing w:before="0" w:after="0" w:line="240" w:lineRule="auto"/>
    </w:pPr>
    <w:rPr>
      <w:rFonts w:ascii="Times New Roman" w:hAnsi="Times New Roman" w:eastAsia="Times New Roman" w:cs="Times New Roman"/>
      <w:szCs w:val="20"/>
      <w:lang w:val="en-GB" w:eastAsia="en-US"/>
    </w:rPr>
  </w:style>
  <w:style w:type="character" w:styleId="FootnoteTextChar" w:customStyle="1">
    <w:name w:val="Footnote Text Char"/>
    <w:basedOn w:val="DefaultParagraphFont"/>
    <w:link w:val="FootnoteText"/>
    <w:rsid w:val="00117156"/>
    <w:rPr>
      <w:rFonts w:ascii="Times New Roman" w:hAnsi="Times New Roman" w:eastAsia="Times New Roman" w:cs="Times New Roman"/>
      <w:sz w:val="20"/>
      <w:szCs w:val="20"/>
      <w:lang w:val="en-GB" w:eastAsia="en-US"/>
    </w:rPr>
  </w:style>
  <w:style w:type="character" w:styleId="FootnoteReference">
    <w:name w:val="footnote reference"/>
    <w:rsid w:val="00117156"/>
    <w:rPr>
      <w:vertAlign w:val="superscript"/>
    </w:rPr>
  </w:style>
  <w:style w:type="paragraph" w:styleId="BodyText2">
    <w:name w:val="Body Text 2"/>
    <w:basedOn w:val="Normal"/>
    <w:link w:val="BodyText2Char"/>
    <w:rsid w:val="008F03A4"/>
    <w:pPr>
      <w:tabs>
        <w:tab w:val="clear" w:pos="567"/>
        <w:tab w:val="clear" w:pos="1134"/>
        <w:tab w:val="clear" w:pos="1701"/>
        <w:tab w:val="clear" w:pos="2268"/>
      </w:tabs>
      <w:spacing w:before="0" w:after="0" w:line="240" w:lineRule="auto"/>
      <w:jc w:val="center"/>
    </w:pPr>
    <w:rPr>
      <w:rFonts w:ascii="Garamond" w:hAnsi="Garamond" w:eastAsia="Times New Roman" w:cs="Arial"/>
      <w:b/>
      <w:bCs/>
      <w:i/>
      <w:iCs/>
      <w:sz w:val="24"/>
      <w:szCs w:val="24"/>
      <w:lang w:val="en-GB" w:eastAsia="en-US"/>
    </w:rPr>
  </w:style>
  <w:style w:type="character" w:styleId="BodyText2Char" w:customStyle="1">
    <w:name w:val="Body Text 2 Char"/>
    <w:basedOn w:val="DefaultParagraphFont"/>
    <w:link w:val="BodyText2"/>
    <w:rsid w:val="008F03A4"/>
    <w:rPr>
      <w:rFonts w:ascii="Garamond" w:hAnsi="Garamond" w:eastAsia="Times New Roman" w:cs="Arial"/>
      <w:b/>
      <w:bCs/>
      <w:i/>
      <w:iCs/>
      <w:sz w:val="24"/>
      <w:szCs w:val="24"/>
      <w:lang w:val="en-GB" w:eastAsia="en-US"/>
    </w:rPr>
  </w:style>
  <w:style w:type="paragraph" w:styleId="Default" w:customStyle="1">
    <w:name w:val="Default"/>
    <w:rsid w:val="005A60B9"/>
    <w:pPr>
      <w:autoSpaceDE w:val="0"/>
      <w:autoSpaceDN w:val="0"/>
      <w:adjustRightInd w:val="0"/>
      <w:spacing w:after="0" w:line="240" w:lineRule="auto"/>
    </w:pPr>
    <w:rPr>
      <w:rFonts w:ascii="Garamond" w:hAnsi="Garamond" w:cs="Garamond"/>
      <w:color w:val="000000"/>
      <w:sz w:val="24"/>
      <w:szCs w:val="24"/>
      <w:lang w:val="en-GB"/>
    </w:rPr>
  </w:style>
  <w:style w:type="paragraph" w:styleId="Revision">
    <w:name w:val="Revision"/>
    <w:hidden/>
    <w:uiPriority w:val="99"/>
    <w:semiHidden/>
    <w:rsid w:val="006E1EA3"/>
    <w:pPr>
      <w:spacing w:after="0" w:line="240" w:lineRule="auto"/>
    </w:pPr>
    <w:rPr>
      <w:rFonts w:ascii="Arial" w:hAnsi="Arial"/>
      <w:sz w:val="20"/>
    </w:rPr>
  </w:style>
  <w:style w:type="paragraph" w:styleId="GCPSnormal" w:customStyle="1">
    <w:name w:val="GCPS normal"/>
    <w:basedOn w:val="Normal"/>
    <w:qFormat/>
    <w:rsid w:val="006E1EA3"/>
    <w:pPr>
      <w:tabs>
        <w:tab w:val="clear" w:pos="567"/>
        <w:tab w:val="clear" w:pos="1134"/>
        <w:tab w:val="clear" w:pos="1701"/>
        <w:tab w:val="clear" w:pos="2268"/>
      </w:tabs>
      <w:spacing w:before="0" w:after="0" w:line="240" w:lineRule="auto"/>
    </w:pPr>
    <w:rPr>
      <w:rFonts w:ascii="Century Gothic" w:hAnsi="Century Gothic"/>
      <w:sz w:val="22"/>
      <w:szCs w:val="22"/>
      <w:lang w:val="en-GB" w:eastAsia="en-US"/>
    </w:rPr>
  </w:style>
  <w:style w:type="character" w:styleId="UnresolvedMention">
    <w:name w:val="Unresolved Mention"/>
    <w:basedOn w:val="DefaultParagraphFont"/>
    <w:uiPriority w:val="99"/>
    <w:semiHidden/>
    <w:unhideWhenUsed/>
    <w:rsid w:val="00E2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38249156">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C:/Users/catk/Meningitis%20Research%20Foundation/Staff%20Documentation%20-%20Documents/General/STAFF%20HANDBOOK/Risk%20Registers/6.7.%20MRF-risk-register%20Apr%2020.xlsx" TargetMode="External" Id="rId13" /><Relationship Type="http://schemas.openxmlformats.org/officeDocument/2006/relationships/hyperlink" Target="file:///C:/Users/catk/Meningitis%20Research%20Foundation/Staff%20Documentation%20-%20Documents/General/STAFF%20HANDBOOK/Section%202%20-%20Staff%20Policies%20(updated%2004.03.22)/3.%20Safeguarding/Final%20versions/Whistle%20Blower%20policy.docx"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meningitis.sharepoint.com/sites/StaffDocumentation/Shared%20Documents/General/STAFF%20HANDBOOK/Section%202%20-%20Staff%20Policies%20(updated%2004.03.22)/3.%20Safeguarding/Final%20versions/Archive/Safeguarding-procedures%202018.docx" TargetMode="External" Id="rId12" /><Relationship Type="http://schemas.openxmlformats.org/officeDocument/2006/relationships/hyperlink" Target="file:///C:/Users/catk/Meningitis%20Research%20Foundation/Staff%20Documentation%20-%20Documents/General/STAFF%20HANDBOOK/Section%202%20-%20Staff%20Policies%20(updated%2004.03.22)/3.%20Safeguarding/Final%20versions/MRF-Code%20of%20Conduct.docx"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meningitis.sharepoint.com/sites/StaffDocumentation/Shared%20Documents/General/STAFF%20HANDBOOK/Archive/Section%202%20-%20Staff%20Policies-%20archived%2004.03.22/Employment/Volunteer%20Policy.docx?web=1" TargetMode="External" Id="rId16" /><Relationship Type="http://schemas.openxmlformats.org/officeDocument/2006/relationships/hyperlink" Target="https://www.keepingchildrensafe.org.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eningitis.sharepoint.com/sites/StaffDocumentation/Shared%20Documents/General/STAFF%20HANDBOOK/Section%202%20-%20Staff%20Policies%20(updated%2004.03.22)/3.%20Safeguarding/Final%20versions/Personal%20Harassment%20Policy%20.docx?web=1"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file:///C:/Users/catk/Meningitis%20Research%20Foundation/Staff%20Documentation%20-%20Documents/General/STAFF%20HANDBOOK/Section%202%20-%20Staff%20Policies%20(updated%2004.03.22)/3.%20Safeguarding/Final%20versions/MRF%20Safeguarding%20Procedures.docx" TargetMode="External" Id="rId15" /><Relationship Type="http://schemas.openxmlformats.org/officeDocument/2006/relationships/footer" Target="footer1.xml" Id="rId23" /><Relationship Type="http://schemas.openxmlformats.org/officeDocument/2006/relationships/footer" Target="footer4.xml" Id="rId28" /><Relationship Type="http://schemas.openxmlformats.org/officeDocument/2006/relationships/endnotes" Target="endnotes.xml" Id="rId10" /><Relationship Type="http://schemas.openxmlformats.org/officeDocument/2006/relationships/hyperlink" Target="https://www.unicef.org.uk/what-we-do/un-convention-child-right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 Type="http://schemas.openxmlformats.org/officeDocument/2006/relationships/header" Target="header4.xml" Id="rId27" /><Relationship Type="http://schemas.openxmlformats.org/officeDocument/2006/relationships/theme" Target="theme/theme1.xml" Id="rId30" /><Relationship Type="http://schemas.openxmlformats.org/officeDocument/2006/relationships/hyperlink" Target="mailto:Cats@meningitis.org" TargetMode="External" Id="Rc7af03136b3e43ec" /></Relationships>
</file>

<file path=word/_rels/header3.xml.rels><?xml version="1.0" encoding="UTF-8" standalone="yes"?>
<Relationships xmlns="http://schemas.openxmlformats.org/package/2006/relationships"><Relationship Id="rId2" Type="http://schemas.openxmlformats.org/officeDocument/2006/relationships/hyperlink" Target="mailto:info@meningitis.org"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282FE23CB0C34B8AFAC5385826F096" ma:contentTypeVersion="14" ma:contentTypeDescription="Create a new document." ma:contentTypeScope="" ma:versionID="12cf71d61eca8148423bff0b08476d7b">
  <xsd:schema xmlns:xsd="http://www.w3.org/2001/XMLSchema" xmlns:xs="http://www.w3.org/2001/XMLSchema" xmlns:p="http://schemas.microsoft.com/office/2006/metadata/properties" xmlns:ns2="cdba4ce8-cac4-4435-b607-c6ce289a9379" xmlns:ns3="c0dcd64f-7977-40f1-a27a-e00472df9b65" targetNamespace="http://schemas.microsoft.com/office/2006/metadata/properties" ma:root="true" ma:fieldsID="fb2e0ce157df156f1e108cfc258e4ad7" ns2:_="" ns3:_="">
    <xsd:import namespace="cdba4ce8-cac4-4435-b607-c6ce289a9379"/>
    <xsd:import namespace="c0dcd64f-7977-40f1-a27a-e00472df9b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a4ce8-cac4-4435-b607-c6ce289a9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d971e7-019a-404f-86a3-79ba66091f9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cd64f-7977-40f1-a27a-e00472df9b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fc1b58-eff9-4fae-a625-5535b401e1e2}" ma:internalName="TaxCatchAll" ma:showField="CatchAllData" ma:web="c0dcd64f-7977-40f1-a27a-e00472df9b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a4ce8-cac4-4435-b607-c6ce289a9379">
      <Terms xmlns="http://schemas.microsoft.com/office/infopath/2007/PartnerControls"/>
    </lcf76f155ced4ddcb4097134ff3c332f>
    <TaxCatchAll xmlns="c0dcd64f-7977-40f1-a27a-e00472df9b65" xsi:nil="true"/>
    <SharedWithUsers xmlns="c0dcd64f-7977-40f1-a27a-e00472df9b65">
      <UserInfo>
        <DisplayName>Ryan Townley</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34E29-D1A6-4F59-9780-114DA19BF718}">
  <ds:schemaRefs>
    <ds:schemaRef ds:uri="http://schemas.openxmlformats.org/officeDocument/2006/bibliography"/>
  </ds:schemaRefs>
</ds:datastoreItem>
</file>

<file path=customXml/itemProps2.xml><?xml version="1.0" encoding="utf-8"?>
<ds:datastoreItem xmlns:ds="http://schemas.openxmlformats.org/officeDocument/2006/customXml" ds:itemID="{B4DD756D-01D5-4D47-9659-CE9C3469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a4ce8-cac4-4435-b607-c6ce289a9379"/>
    <ds:schemaRef ds:uri="c0dcd64f-7977-40f1-a27a-e00472df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9119D-09BA-4735-8858-CA0D17D728D6}">
  <ds:schemaRefs>
    <ds:schemaRef ds:uri="http://schemas.microsoft.com/office/2006/metadata/properties"/>
    <ds:schemaRef ds:uri="http://schemas.microsoft.com/office/infopath/2007/PartnerControls"/>
    <ds:schemaRef ds:uri="cdba4ce8-cac4-4435-b607-c6ce289a9379"/>
    <ds:schemaRef ds:uri="c0dcd64f-7977-40f1-a27a-e00472df9b65"/>
  </ds:schemaRefs>
</ds:datastoreItem>
</file>

<file path=customXml/itemProps4.xml><?xml version="1.0" encoding="utf-8"?>
<ds:datastoreItem xmlns:ds="http://schemas.openxmlformats.org/officeDocument/2006/customXml" ds:itemID="{9645B11B-0B8F-49C5-BF89-A6B0656DDF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Mike Taylor</dc:creator>
  <keywords/>
  <lastModifiedBy>Caroline Hughes</lastModifiedBy>
  <revision>121</revision>
  <lastPrinted>2020-02-27T17:05:00.0000000Z</lastPrinted>
  <dcterms:created xsi:type="dcterms:W3CDTF">2018-06-07T09:30:00.0000000Z</dcterms:created>
  <dcterms:modified xsi:type="dcterms:W3CDTF">2024-10-22T08:45:55.0217456Z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0x010100DA282FE23CB0C34B8AFAC5385826F096</vt:lpwstr>
  </property>
  <property fmtid="{D5CDD505-2E9C-101B-9397-08002B2CF9AE}" pid="4" name="MediaServiceImageTags">
    <vt:lpwstr/>
  </property>
</Properties>
</file>